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ind w:right="0" w:rightChars="0"/>
        <w:jc w:val="center"/>
        <w:textAlignment w:val="auto"/>
        <w:outlineLvl w:val="9"/>
        <w:rPr>
          <w:rFonts w:hint="eastAsia" w:ascii="华文中宋" w:hAnsi="华文中宋" w:eastAsia="华文中宋"/>
          <w:sz w:val="44"/>
          <w:szCs w:val="44"/>
        </w:rPr>
      </w:pPr>
      <w:bookmarkStart w:id="0" w:name="_Toc5114"/>
      <w:bookmarkStart w:id="1" w:name="_Toc16194"/>
      <w:bookmarkStart w:id="2" w:name="_Toc420413405"/>
      <w:bookmarkStart w:id="3" w:name="_Toc12762"/>
      <w:bookmarkStart w:id="4" w:name="_Toc24655"/>
      <w:bookmarkStart w:id="5" w:name="_Toc427247587"/>
      <w:bookmarkStart w:id="6" w:name="_Toc420933121"/>
      <w:bookmarkStart w:id="7" w:name="_Toc420918833"/>
      <w:bookmarkStart w:id="8" w:name="_Toc420413133"/>
      <w:bookmarkStart w:id="9" w:name="_Toc420933058"/>
      <w:bookmarkStart w:id="10" w:name="_Toc420481419"/>
      <w:bookmarkStart w:id="11" w:name="_Toc420933189"/>
      <w:bookmarkStart w:id="12" w:name="_Toc19871"/>
      <w:r>
        <w:rPr>
          <w:rFonts w:hint="eastAsia" w:ascii="华文中宋" w:hAnsi="华文中宋" w:eastAsia="华文中宋"/>
          <w:sz w:val="44"/>
          <w:szCs w:val="44"/>
        </w:rPr>
        <w:t>工业和信息化部产业发展促进中心</w:t>
      </w:r>
      <w:bookmarkEnd w:id="0"/>
      <w:bookmarkStart w:id="13" w:name="_Toc6475"/>
      <w:r>
        <w:rPr>
          <w:rFonts w:hint="eastAsia" w:ascii="华文中宋" w:hAnsi="华文中宋" w:eastAsia="华文中宋"/>
          <w:sz w:val="44"/>
          <w:szCs w:val="44"/>
        </w:rPr>
        <w:t>国家科技重大专项（民口）课题</w:t>
      </w:r>
      <w:bookmarkEnd w:id="13"/>
      <w:bookmarkStart w:id="14" w:name="_Toc30478"/>
      <w:r>
        <w:rPr>
          <w:rFonts w:hint="eastAsia" w:ascii="华文中宋" w:hAnsi="华文中宋" w:eastAsia="华文中宋"/>
          <w:sz w:val="44"/>
          <w:szCs w:val="44"/>
        </w:rPr>
        <w:t>综合绩效评价</w:t>
      </w:r>
    </w:p>
    <w:p>
      <w:pPr>
        <w:keepNext w:val="0"/>
        <w:keepLines w:val="0"/>
        <w:pageBreakBefore w:val="0"/>
        <w:widowControl w:val="0"/>
        <w:kinsoku/>
        <w:wordWrap/>
        <w:overflowPunct/>
        <w:topLinePunct w:val="0"/>
        <w:autoSpaceDE/>
        <w:autoSpaceDN/>
        <w:bidi w:val="0"/>
        <w:snapToGrid/>
        <w:ind w:right="0" w:rightChars="0"/>
        <w:jc w:val="center"/>
        <w:textAlignment w:val="auto"/>
        <w:outlineLvl w:val="9"/>
        <w:rPr>
          <w:rFonts w:ascii="华文中宋" w:hAnsi="华文中宋" w:eastAsia="华文中宋"/>
          <w:sz w:val="44"/>
          <w:szCs w:val="44"/>
        </w:rPr>
      </w:pPr>
      <w:r>
        <w:rPr>
          <w:rFonts w:hint="eastAsia" w:ascii="华文中宋" w:hAnsi="华文中宋" w:eastAsia="华文中宋"/>
          <w:sz w:val="44"/>
          <w:szCs w:val="44"/>
        </w:rPr>
        <w:t>工作细则</w:t>
      </w:r>
      <w:bookmarkEnd w:id="1"/>
      <w:bookmarkEnd w:id="2"/>
      <w:bookmarkEnd w:id="3"/>
      <w:bookmarkEnd w:id="4"/>
      <w:bookmarkEnd w:id="5"/>
      <w:bookmarkEnd w:id="6"/>
      <w:bookmarkEnd w:id="7"/>
      <w:bookmarkEnd w:id="8"/>
      <w:bookmarkEnd w:id="9"/>
      <w:bookmarkEnd w:id="10"/>
      <w:bookmarkEnd w:id="11"/>
      <w:bookmarkEnd w:id="12"/>
      <w:bookmarkEnd w:id="14"/>
      <w:r>
        <w:rPr>
          <w:rFonts w:hint="eastAsia" w:ascii="华文中宋" w:hAnsi="华文中宋" w:eastAsia="华文中宋"/>
          <w:sz w:val="44"/>
          <w:szCs w:val="44"/>
        </w:rPr>
        <w:t>（试行）</w:t>
      </w:r>
    </w:p>
    <w:p>
      <w:pPr>
        <w:keepNext w:val="0"/>
        <w:keepLines w:val="0"/>
        <w:pageBreakBefore w:val="0"/>
        <w:widowControl w:val="0"/>
        <w:kinsoku/>
        <w:wordWrap/>
        <w:overflowPunct/>
        <w:topLinePunct w:val="0"/>
        <w:autoSpaceDE/>
        <w:autoSpaceDN/>
        <w:bidi w:val="0"/>
        <w:snapToGrid/>
        <w:spacing w:line="360" w:lineRule="auto"/>
        <w:ind w:right="0" w:rightChars="0"/>
        <w:jc w:val="both"/>
        <w:textAlignment w:val="auto"/>
        <w:outlineLvl w:val="9"/>
        <w:rPr>
          <w:rFonts w:ascii="宋体" w:hAnsi="宋体" w:eastAsia="宋体"/>
        </w:rPr>
      </w:pPr>
    </w:p>
    <w:p>
      <w:pPr>
        <w:keepNext w:val="0"/>
        <w:keepLines w:val="0"/>
        <w:pageBreakBefore w:val="0"/>
        <w:widowControl w:val="0"/>
        <w:numPr>
          <w:ilvl w:val="1"/>
          <w:numId w:val="1"/>
        </w:numPr>
        <w:kinsoku/>
        <w:wordWrap/>
        <w:overflowPunct/>
        <w:topLinePunct w:val="0"/>
        <w:autoSpaceDE/>
        <w:autoSpaceDN/>
        <w:bidi w:val="0"/>
        <w:snapToGrid/>
        <w:spacing w:line="360" w:lineRule="auto"/>
        <w:ind w:left="0" w:right="0" w:rightChars="0" w:firstLine="0"/>
        <w:jc w:val="center"/>
        <w:textAlignment w:val="auto"/>
        <w:outlineLvl w:val="9"/>
        <w:rPr>
          <w:rFonts w:ascii="黑体" w:hAnsi="黑体" w:eastAsia="黑体"/>
          <w:sz w:val="28"/>
          <w:szCs w:val="28"/>
        </w:rPr>
      </w:pPr>
      <w:r>
        <w:rPr>
          <w:rFonts w:hint="eastAsia" w:ascii="黑体" w:hAnsi="黑体" w:eastAsia="黑体"/>
          <w:sz w:val="28"/>
          <w:szCs w:val="28"/>
        </w:rPr>
        <w:t>总则</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为规范工业和信息化部产业发展促进中心（以下简称“中心”）管理的国家科技重大专项（民口）（以下简称“重大专项”）课题综合绩效评价工作，依据《进一步深化管理改革 激发创新活力 确保完成国家科技重大专项既定目标的十项措施》（国科发重〔</w:t>
      </w:r>
      <w:r>
        <w:rPr>
          <w:rFonts w:ascii="宋体" w:hAnsi="宋体" w:eastAsia="宋体"/>
          <w:sz w:val="28"/>
          <w:szCs w:val="28"/>
        </w:rPr>
        <w:t>201</w:t>
      </w:r>
      <w:r>
        <w:rPr>
          <w:rFonts w:hint="eastAsia" w:ascii="宋体" w:hAnsi="宋体" w:eastAsia="宋体"/>
          <w:sz w:val="28"/>
          <w:szCs w:val="28"/>
        </w:rPr>
        <w:t>8〕315号）、《国家科技重大专项（民口）档案管理规定》（国科发专〔</w:t>
      </w:r>
      <w:r>
        <w:rPr>
          <w:rFonts w:ascii="宋体" w:hAnsi="宋体" w:eastAsia="宋体"/>
          <w:sz w:val="28"/>
          <w:szCs w:val="28"/>
        </w:rPr>
        <w:t>2017</w:t>
      </w:r>
      <w:r>
        <w:rPr>
          <w:rFonts w:hint="eastAsia" w:ascii="宋体" w:hAnsi="宋体" w:eastAsia="宋体"/>
          <w:sz w:val="28"/>
          <w:szCs w:val="28"/>
        </w:rPr>
        <w:t>〕348号）、《国家科技重大专项（民口）验收管理办法》（国科发专〔2018〕37号）、《国家科技重大专项（民口）项目（课题）财务验收办法》（财科教〔</w:t>
      </w:r>
      <w:r>
        <w:rPr>
          <w:rFonts w:ascii="宋体" w:hAnsi="宋体" w:eastAsia="宋体"/>
          <w:sz w:val="28"/>
          <w:szCs w:val="28"/>
        </w:rPr>
        <w:t>2017</w:t>
      </w:r>
      <w:r>
        <w:rPr>
          <w:rFonts w:hint="eastAsia" w:ascii="宋体" w:hAnsi="宋体" w:eastAsia="宋体"/>
          <w:sz w:val="28"/>
          <w:szCs w:val="28"/>
        </w:rPr>
        <w:t>〕</w:t>
      </w:r>
      <w:r>
        <w:rPr>
          <w:rFonts w:ascii="宋体" w:hAnsi="宋体" w:eastAsia="宋体"/>
          <w:sz w:val="28"/>
          <w:szCs w:val="28"/>
        </w:rPr>
        <w:t>75</w:t>
      </w:r>
      <w:r>
        <w:rPr>
          <w:rFonts w:hint="eastAsia" w:ascii="宋体" w:hAnsi="宋体" w:eastAsia="宋体"/>
          <w:sz w:val="28"/>
          <w:szCs w:val="28"/>
        </w:rPr>
        <w:t>号）以及国家科技管理相关规定和国家有关财务管理制度等，制定本工作细则。</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课题综合绩效评价以课题任务合同书、预算书、重大专项有关管理规定、国家相关财经法规和财务管理制度为主要依据，重点对课题目标和考核指标完成情况、研究成果的水平及创新性、成果示范推广及应用前景、人才培养和组织管理、经费管理使用等情况进行评价。</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课题综合绩效评价工作坚持依法依规、客观公正、科学规范、重质求效的原则，第三方机构、评价专家等选择实行回避制度，确保综合绩效评价工作的严肃性、科学性和权威性。所有专家均需签订诚信承诺书。</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凡经批准列入中心管理的重大专项课题，均应进行综合绩效评价，对于综合绩效评价前已批准终止或撤销的课题不纳入综合绩效评价范围。涉密课题的综合绩效评价工作严格按照《保守国家秘密法》、《科学技术保密规定》等相关规定执行。不能按期完成任务目标的课题，需提前</w:t>
      </w:r>
      <w:r>
        <w:rPr>
          <w:rFonts w:ascii="宋体" w:hAnsi="宋体" w:eastAsia="宋体"/>
          <w:sz w:val="28"/>
          <w:szCs w:val="28"/>
        </w:rPr>
        <w:t>3</w:t>
      </w:r>
      <w:r>
        <w:rPr>
          <w:rFonts w:hint="eastAsia" w:ascii="宋体" w:hAnsi="宋体" w:eastAsia="宋体"/>
          <w:sz w:val="28"/>
          <w:szCs w:val="28"/>
        </w:rPr>
        <w:t>个月向中心提出延期申请，说明延期的理由和延期时间，报中心审批。原则上延期时间不超过</w:t>
      </w:r>
      <w:r>
        <w:rPr>
          <w:rFonts w:ascii="宋体" w:hAnsi="宋体" w:eastAsia="宋体"/>
          <w:sz w:val="28"/>
          <w:szCs w:val="28"/>
        </w:rPr>
        <w:t>1</w:t>
      </w:r>
      <w:r>
        <w:rPr>
          <w:rFonts w:hint="eastAsia" w:ascii="宋体" w:hAnsi="宋体" w:eastAsia="宋体"/>
          <w:sz w:val="28"/>
          <w:szCs w:val="28"/>
        </w:rPr>
        <w:t>年。</w:t>
      </w:r>
    </w:p>
    <w:p>
      <w:pPr>
        <w:keepNext w:val="0"/>
        <w:keepLines w:val="0"/>
        <w:pageBreakBefore w:val="0"/>
        <w:widowControl w:val="0"/>
        <w:numPr>
          <w:ilvl w:val="1"/>
          <w:numId w:val="1"/>
        </w:numPr>
        <w:kinsoku/>
        <w:wordWrap/>
        <w:overflowPunct/>
        <w:topLinePunct w:val="0"/>
        <w:autoSpaceDE/>
        <w:autoSpaceDN/>
        <w:bidi w:val="0"/>
        <w:snapToGrid/>
        <w:spacing w:line="360" w:lineRule="auto"/>
        <w:ind w:left="0" w:right="0" w:rightChars="0" w:firstLine="0"/>
        <w:jc w:val="center"/>
        <w:textAlignment w:val="auto"/>
        <w:outlineLvl w:val="9"/>
        <w:rPr>
          <w:rFonts w:ascii="黑体" w:hAnsi="黑体" w:eastAsia="黑体"/>
          <w:sz w:val="28"/>
          <w:szCs w:val="28"/>
        </w:rPr>
      </w:pPr>
      <w:r>
        <w:rPr>
          <w:rFonts w:hint="eastAsia" w:ascii="黑体" w:hAnsi="黑体" w:eastAsia="黑体"/>
          <w:sz w:val="28"/>
          <w:szCs w:val="28"/>
        </w:rPr>
        <w:t>综合绩效评价的组织</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在重大专项牵头组织单位领导下，中心负责课题的综合绩效评价组织实施，制定年度综合绩效评价工作计划，组织开展课题综合绩效评价。</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重大专项课题牵头承担单位和参与单位（以下简称“课题承担单位”）要充分履行法人主体责任，配合中心开展课题综合绩效评价工作，负责形成课题自评价报告等综合绩效评价文件资料，并对其真实性、准确性、完整性负法律责任；配合做好第三方测试、知识产权审查、财务审计、档案检查等工作；配合做好三部门、牵头组织单位的监督检查等工作。</w:t>
      </w:r>
    </w:p>
    <w:p>
      <w:pPr>
        <w:keepNext w:val="0"/>
        <w:keepLines w:val="0"/>
        <w:pageBreakBefore w:val="0"/>
        <w:widowControl w:val="0"/>
        <w:numPr>
          <w:ilvl w:val="1"/>
          <w:numId w:val="1"/>
        </w:numPr>
        <w:kinsoku/>
        <w:wordWrap/>
        <w:overflowPunct/>
        <w:topLinePunct w:val="0"/>
        <w:autoSpaceDE/>
        <w:autoSpaceDN/>
        <w:bidi w:val="0"/>
        <w:snapToGrid/>
        <w:spacing w:line="360" w:lineRule="auto"/>
        <w:ind w:left="0" w:right="0" w:rightChars="0" w:firstLine="0"/>
        <w:jc w:val="center"/>
        <w:textAlignment w:val="auto"/>
        <w:outlineLvl w:val="9"/>
        <w:rPr>
          <w:rFonts w:ascii="黑体" w:hAnsi="黑体" w:eastAsia="黑体"/>
          <w:sz w:val="28"/>
          <w:szCs w:val="28"/>
        </w:rPr>
      </w:pPr>
      <w:r>
        <w:rPr>
          <w:rFonts w:hint="eastAsia" w:ascii="黑体" w:hAnsi="黑体" w:eastAsia="黑体" w:cs="黑体"/>
          <w:sz w:val="28"/>
          <w:szCs w:val="28"/>
        </w:rPr>
        <w:t>综合绩效评价</w:t>
      </w:r>
      <w:r>
        <w:rPr>
          <w:rFonts w:hint="eastAsia" w:ascii="黑体" w:hAnsi="黑体" w:eastAsia="黑体"/>
          <w:sz w:val="28"/>
          <w:szCs w:val="28"/>
        </w:rPr>
        <w:t>的准备</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课题合同到期前3个月，课题承担单位应启动第三方测试、财务审计、知识产权审查、档案审查等工作，准备综合绩效评价材料。</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第三方测试。产品</w:t>
      </w:r>
      <w:r>
        <w:rPr>
          <w:rFonts w:ascii="宋体" w:hAnsi="宋体" w:eastAsia="宋体"/>
          <w:sz w:val="28"/>
          <w:szCs w:val="28"/>
        </w:rPr>
        <w:t>研发类</w:t>
      </w:r>
      <w:r>
        <w:rPr>
          <w:rFonts w:hint="eastAsia" w:ascii="宋体" w:hAnsi="宋体" w:eastAsia="宋体"/>
          <w:sz w:val="28"/>
          <w:szCs w:val="28"/>
        </w:rPr>
        <w:t>及应用示范类课题，原则上需开展第三方测试。课题承担单位需选择具备相应资质的第三方测试机构。已有测试标准的，按标准执行；没有测试标准的，第三方测试机构应制定测试方案（大纲），测试方案（大纲）原则上应由责任专家签字或专家组评审认可。第三方测试机构应据实出具测试报告，</w:t>
      </w:r>
      <w:r>
        <w:rPr>
          <w:rFonts w:ascii="宋体" w:hAnsi="宋体" w:eastAsia="宋体"/>
          <w:sz w:val="28"/>
          <w:szCs w:val="28"/>
        </w:rPr>
        <w:t>测试报告应覆盖</w:t>
      </w:r>
      <w:r>
        <w:rPr>
          <w:rFonts w:hint="eastAsia" w:ascii="宋体" w:hAnsi="宋体" w:eastAsia="宋体"/>
          <w:sz w:val="28"/>
          <w:szCs w:val="28"/>
        </w:rPr>
        <w:t>课题</w:t>
      </w:r>
      <w:r>
        <w:rPr>
          <w:rFonts w:ascii="宋体" w:hAnsi="宋体" w:eastAsia="宋体"/>
          <w:sz w:val="28"/>
          <w:szCs w:val="28"/>
        </w:rPr>
        <w:t>任务合同书中的所有技术指标。</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知识产权审查。有知识产权考核指标的课题，承担单位应按照</w:t>
      </w:r>
      <w:r>
        <w:rPr>
          <w:rFonts w:ascii="宋体" w:hAnsi="宋体" w:eastAsia="宋体"/>
          <w:sz w:val="28"/>
          <w:szCs w:val="28"/>
        </w:rPr>
        <w:t>要求</w:t>
      </w:r>
      <w:r>
        <w:rPr>
          <w:rFonts w:hint="eastAsia" w:ascii="宋体" w:hAnsi="宋体" w:eastAsia="宋体"/>
          <w:sz w:val="28"/>
          <w:szCs w:val="28"/>
        </w:rPr>
        <w:t>提交知识产权审查材料。知识产权审查机构应据实出具审查报告。</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财务审计。课题承担单位自主选择具备资质的会计师事务所开展结题财务审计，确定后需报中心备案。课题承担单位应与会计师事务所签订审计协议，审计费用可从课题资金列支，应在双方协商、公允透明、经济合理的原则下确定。会计师事务所应严格按照中国注册会计师协会制定的《中央财政科技计划项目（课题）结题审计指引》要求，如实、准确、全面开展审计工作，并向课题承担单位出具审计报告。课题承担单位如能提供本课题已接受有关政府审计、纪检等方面出具的报告，会计师事务所应当对相关结论予以采信。</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档案检查。课题承担单位按照《国家科技重大专项（民口）档案管理规定》准备课题全周期档案，并邀请档案专家进行检查，出具检查意见。</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综合绩效评价申请。课题承担单位应在任务合同书规定完成日期后的3个月内，向中心提交课题综合绩效评价申请书（模版见附件1），同时需提交以下文件资料电子版：</w:t>
      </w:r>
    </w:p>
    <w:p>
      <w:pPr>
        <w:keepNext w:val="0"/>
        <w:keepLines w:val="0"/>
        <w:pageBreakBefore w:val="0"/>
        <w:widowControl w:val="0"/>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（一）自评价报告；</w:t>
      </w:r>
    </w:p>
    <w:p>
      <w:pPr>
        <w:keepNext w:val="0"/>
        <w:keepLines w:val="0"/>
        <w:pageBreakBefore w:val="0"/>
        <w:widowControl w:val="0"/>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（二）第三方测试报告；</w:t>
      </w:r>
    </w:p>
    <w:p>
      <w:pPr>
        <w:keepNext w:val="0"/>
        <w:keepLines w:val="0"/>
        <w:pageBreakBefore w:val="0"/>
        <w:widowControl w:val="0"/>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（三）知识产权审查报告；</w:t>
      </w:r>
    </w:p>
    <w:p>
      <w:pPr>
        <w:keepNext w:val="0"/>
        <w:keepLines w:val="0"/>
        <w:pageBreakBefore w:val="0"/>
        <w:widowControl w:val="0"/>
        <w:tabs>
          <w:tab w:val="left" w:pos="1980"/>
          <w:tab w:val="left" w:pos="2520"/>
        </w:tabs>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（四）科技报告；</w:t>
      </w:r>
    </w:p>
    <w:p>
      <w:pPr>
        <w:keepNext w:val="0"/>
        <w:keepLines w:val="0"/>
        <w:pageBreakBefore w:val="0"/>
        <w:widowControl w:val="0"/>
        <w:tabs>
          <w:tab w:val="left" w:pos="1980"/>
          <w:tab w:val="left" w:pos="2520"/>
        </w:tabs>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（五）用户使用报告或应用情况报告；</w:t>
      </w:r>
    </w:p>
    <w:p>
      <w:pPr>
        <w:keepNext w:val="0"/>
        <w:keepLines w:val="0"/>
        <w:pageBreakBefore w:val="0"/>
        <w:widowControl w:val="0"/>
        <w:tabs>
          <w:tab w:val="left" w:pos="1980"/>
          <w:tab w:val="left" w:pos="2520"/>
        </w:tabs>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（六）资金管理的有关内部控制及财务管理制度；</w:t>
      </w:r>
    </w:p>
    <w:p>
      <w:pPr>
        <w:keepNext w:val="0"/>
        <w:keepLines w:val="0"/>
        <w:pageBreakBefore w:val="0"/>
        <w:widowControl w:val="0"/>
        <w:tabs>
          <w:tab w:val="left" w:pos="1980"/>
          <w:tab w:val="left" w:pos="2520"/>
        </w:tabs>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（七）财务收支执行情况报告及附表；</w:t>
      </w:r>
    </w:p>
    <w:p>
      <w:pPr>
        <w:keepNext w:val="0"/>
        <w:keepLines w:val="0"/>
        <w:pageBreakBefore w:val="0"/>
        <w:widowControl w:val="0"/>
        <w:tabs>
          <w:tab w:val="left" w:pos="1980"/>
          <w:tab w:val="left" w:pos="2520"/>
        </w:tabs>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（八）审计报告及附表；</w:t>
      </w:r>
    </w:p>
    <w:p>
      <w:pPr>
        <w:keepNext w:val="0"/>
        <w:keepLines w:val="0"/>
        <w:pageBreakBefore w:val="0"/>
        <w:widowControl w:val="0"/>
        <w:tabs>
          <w:tab w:val="left" w:pos="1980"/>
          <w:tab w:val="left" w:pos="2520"/>
        </w:tabs>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（九）课题承担单位</w:t>
      </w:r>
      <w:r>
        <w:rPr>
          <w:rFonts w:ascii="宋体" w:hAnsi="宋体" w:eastAsia="宋体"/>
          <w:sz w:val="28"/>
          <w:szCs w:val="28"/>
        </w:rPr>
        <w:t>和</w:t>
      </w:r>
      <w:r>
        <w:rPr>
          <w:rFonts w:hint="eastAsia" w:ascii="宋体" w:hAnsi="宋体" w:eastAsia="宋体"/>
          <w:sz w:val="28"/>
          <w:szCs w:val="28"/>
        </w:rPr>
        <w:t>参与单位</w:t>
      </w:r>
      <w:r>
        <w:rPr>
          <w:rFonts w:ascii="宋体" w:hAnsi="宋体" w:eastAsia="宋体"/>
          <w:sz w:val="28"/>
          <w:szCs w:val="28"/>
        </w:rPr>
        <w:t>中央财政</w:t>
      </w:r>
      <w:r>
        <w:rPr>
          <w:rFonts w:hint="eastAsia" w:ascii="宋体" w:hAnsi="宋体" w:eastAsia="宋体"/>
          <w:sz w:val="28"/>
          <w:szCs w:val="28"/>
        </w:rPr>
        <w:t>资金</w:t>
      </w:r>
      <w:r>
        <w:rPr>
          <w:rFonts w:ascii="宋体" w:hAnsi="宋体" w:eastAsia="宋体"/>
          <w:sz w:val="28"/>
          <w:szCs w:val="28"/>
        </w:rPr>
        <w:t>、地方财政</w:t>
      </w:r>
      <w:r>
        <w:rPr>
          <w:rFonts w:hint="eastAsia" w:ascii="宋体" w:hAnsi="宋体" w:eastAsia="宋体"/>
          <w:sz w:val="28"/>
          <w:szCs w:val="28"/>
        </w:rPr>
        <w:t>资金</w:t>
      </w:r>
      <w:r>
        <w:rPr>
          <w:rFonts w:ascii="宋体" w:hAnsi="宋体" w:eastAsia="宋体"/>
          <w:sz w:val="28"/>
          <w:szCs w:val="28"/>
        </w:rPr>
        <w:t>、单位自筹</w:t>
      </w:r>
      <w:r>
        <w:rPr>
          <w:rFonts w:hint="eastAsia" w:ascii="宋体" w:hAnsi="宋体" w:eastAsia="宋体"/>
          <w:sz w:val="28"/>
          <w:szCs w:val="28"/>
        </w:rPr>
        <w:t>资金</w:t>
      </w:r>
      <w:r>
        <w:rPr>
          <w:rFonts w:ascii="宋体" w:hAnsi="宋体" w:eastAsia="宋体"/>
          <w:sz w:val="28"/>
          <w:szCs w:val="28"/>
        </w:rPr>
        <w:t>、其他资金</w:t>
      </w:r>
      <w:r>
        <w:rPr>
          <w:rFonts w:hint="eastAsia" w:ascii="宋体" w:hAnsi="宋体" w:eastAsia="宋体"/>
          <w:sz w:val="28"/>
          <w:szCs w:val="28"/>
        </w:rPr>
        <w:t>等</w:t>
      </w:r>
      <w:r>
        <w:rPr>
          <w:rFonts w:ascii="宋体" w:hAnsi="宋体" w:eastAsia="宋体"/>
          <w:sz w:val="28"/>
          <w:szCs w:val="28"/>
        </w:rPr>
        <w:t>预算科目明细账</w:t>
      </w:r>
      <w:r>
        <w:rPr>
          <w:rFonts w:hint="eastAsia" w:ascii="宋体" w:hAnsi="宋体" w:eastAsia="宋体"/>
          <w:sz w:val="28"/>
          <w:szCs w:val="28"/>
        </w:rPr>
        <w:t>；</w:t>
      </w:r>
    </w:p>
    <w:p>
      <w:pPr>
        <w:keepNext w:val="0"/>
        <w:keepLines w:val="0"/>
        <w:pageBreakBefore w:val="0"/>
        <w:widowControl w:val="0"/>
        <w:tabs>
          <w:tab w:val="left" w:pos="1980"/>
          <w:tab w:val="left" w:pos="2520"/>
        </w:tabs>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（十）资金支出相关补充说明材料；</w:t>
      </w:r>
    </w:p>
    <w:p>
      <w:pPr>
        <w:keepNext w:val="0"/>
        <w:keepLines w:val="0"/>
        <w:pageBreakBefore w:val="0"/>
        <w:widowControl w:val="0"/>
        <w:tabs>
          <w:tab w:val="left" w:pos="1980"/>
          <w:tab w:val="left" w:pos="2520"/>
        </w:tabs>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（十一）档案检查意见（模板见附件</w:t>
      </w:r>
      <w:r>
        <w:rPr>
          <w:rFonts w:ascii="宋体" w:hAnsi="宋体" w:eastAsia="宋体"/>
          <w:sz w:val="28"/>
          <w:szCs w:val="28"/>
        </w:rPr>
        <w:t>2</w:t>
      </w:r>
      <w:r>
        <w:rPr>
          <w:rFonts w:hint="eastAsia" w:ascii="宋体" w:hAnsi="宋体" w:eastAsia="宋体"/>
          <w:sz w:val="28"/>
          <w:szCs w:val="28"/>
        </w:rPr>
        <w:t>）；</w:t>
      </w:r>
    </w:p>
    <w:p>
      <w:pPr>
        <w:keepNext w:val="0"/>
        <w:keepLines w:val="0"/>
        <w:pageBreakBefore w:val="0"/>
        <w:widowControl w:val="0"/>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（十二）其他需要提供的材料。</w:t>
      </w:r>
    </w:p>
    <w:p>
      <w:pPr>
        <w:keepNext w:val="0"/>
        <w:keepLines w:val="0"/>
        <w:pageBreakBefore w:val="0"/>
        <w:widowControl w:val="0"/>
        <w:numPr>
          <w:ilvl w:val="0"/>
          <w:numId w:val="2"/>
        </w:numPr>
        <w:kinsoku/>
        <w:wordWrap/>
        <w:overflowPunct/>
        <w:topLinePunct w:val="0"/>
        <w:autoSpaceDE/>
        <w:autoSpaceDN/>
        <w:bidi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中心在收到课题综合绩效评价申请书、文件资料电子版后，应及时组织开展评前审查，出具评前审查意见（模板见附件3）。</w:t>
      </w:r>
    </w:p>
    <w:p>
      <w:pPr>
        <w:keepNext w:val="0"/>
        <w:keepLines w:val="0"/>
        <w:pageBreakBefore w:val="0"/>
        <w:widowControl w:val="0"/>
        <w:kinsoku/>
        <w:wordWrap/>
        <w:overflowPunct/>
        <w:topLinePunct w:val="0"/>
        <w:autoSpaceDE/>
        <w:autoSpaceDN/>
        <w:bidi w:val="0"/>
        <w:snapToGrid/>
        <w:spacing w:line="360" w:lineRule="auto"/>
        <w:ind w:right="0" w:rightChars="0" w:firstLine="560"/>
        <w:jc w:val="both"/>
        <w:textAlignment w:val="auto"/>
        <w:outlineLvl w:val="9"/>
        <w:rPr>
          <w:rFonts w:ascii="宋体" w:hAnsi="宋体" w:eastAsia="宋体"/>
          <w:sz w:val="28"/>
          <w:szCs w:val="28"/>
        </w:rPr>
      </w:pPr>
      <w:r>
        <w:rPr>
          <w:rFonts w:hint="eastAsia" w:ascii="宋体" w:hAnsi="宋体" w:eastAsia="宋体"/>
          <w:sz w:val="28"/>
          <w:szCs w:val="28"/>
        </w:rPr>
        <w:t>评前审查内容包括：</w:t>
      </w:r>
    </w:p>
    <w:p>
      <w:pPr>
        <w:pStyle w:val="66"/>
        <w:keepNext w:val="0"/>
        <w:keepLines w:val="0"/>
        <w:pageBreakBefore w:val="0"/>
        <w:widowControl w:val="0"/>
        <w:numPr>
          <w:ilvl w:val="0"/>
          <w:numId w:val="3"/>
        </w:numPr>
        <w:kinsoku/>
        <w:wordWrap/>
        <w:overflowPunct/>
        <w:topLinePunct w:val="0"/>
        <w:autoSpaceDE/>
        <w:autoSpaceDN/>
        <w:bidi w:val="0"/>
        <w:snapToGrid/>
        <w:spacing w:line="360" w:lineRule="auto"/>
        <w:ind w:right="0" w:rightChars="0" w:firstLineChars="0"/>
        <w:jc w:val="both"/>
        <w:textAlignment w:val="auto"/>
        <w:outlineLvl w:val="9"/>
        <w:rPr>
          <w:rFonts w:ascii="宋体" w:hAnsi="宋体" w:eastAsia="宋体"/>
          <w:sz w:val="28"/>
          <w:szCs w:val="28"/>
        </w:rPr>
      </w:pPr>
      <w:r>
        <w:rPr>
          <w:rFonts w:hint="eastAsia" w:ascii="宋体" w:hAnsi="宋体" w:eastAsia="宋体"/>
          <w:sz w:val="28"/>
          <w:szCs w:val="28"/>
        </w:rPr>
        <w:t>资料的完整性、合规性；</w:t>
      </w:r>
    </w:p>
    <w:p>
      <w:pPr>
        <w:pStyle w:val="66"/>
        <w:keepNext w:val="0"/>
        <w:keepLines w:val="0"/>
        <w:pageBreakBefore w:val="0"/>
        <w:widowControl w:val="0"/>
        <w:numPr>
          <w:ilvl w:val="0"/>
          <w:numId w:val="3"/>
        </w:numPr>
        <w:kinsoku/>
        <w:wordWrap/>
        <w:overflowPunct/>
        <w:topLinePunct w:val="0"/>
        <w:autoSpaceDE/>
        <w:autoSpaceDN/>
        <w:bidi w:val="0"/>
        <w:snapToGrid/>
        <w:spacing w:line="360" w:lineRule="auto"/>
        <w:ind w:right="0" w:rightChars="0" w:firstLineChars="0"/>
        <w:jc w:val="both"/>
        <w:textAlignment w:val="auto"/>
        <w:outlineLvl w:val="9"/>
        <w:rPr>
          <w:rFonts w:ascii="宋体" w:hAnsi="宋体" w:eastAsia="宋体"/>
          <w:sz w:val="28"/>
          <w:szCs w:val="28"/>
        </w:rPr>
      </w:pPr>
      <w:r>
        <w:rPr>
          <w:rFonts w:hint="eastAsia" w:ascii="宋体" w:hAnsi="宋体" w:eastAsia="宋体"/>
          <w:sz w:val="28"/>
          <w:szCs w:val="28"/>
        </w:rPr>
        <w:t>第三方测试报告是否涵盖了任务合同书规定的技术指标；</w:t>
      </w:r>
    </w:p>
    <w:p>
      <w:pPr>
        <w:pStyle w:val="66"/>
        <w:keepNext w:val="0"/>
        <w:keepLines w:val="0"/>
        <w:pageBreakBefore w:val="0"/>
        <w:widowControl w:val="0"/>
        <w:numPr>
          <w:ilvl w:val="0"/>
          <w:numId w:val="3"/>
        </w:numPr>
        <w:kinsoku/>
        <w:wordWrap/>
        <w:overflowPunct/>
        <w:topLinePunct w:val="0"/>
        <w:autoSpaceDE/>
        <w:autoSpaceDN/>
        <w:bidi w:val="0"/>
        <w:snapToGrid/>
        <w:spacing w:line="360" w:lineRule="auto"/>
        <w:ind w:right="0" w:rightChars="0" w:firstLineChars="0"/>
        <w:jc w:val="both"/>
        <w:textAlignment w:val="auto"/>
        <w:outlineLvl w:val="9"/>
        <w:rPr>
          <w:rFonts w:ascii="宋体" w:hAnsi="宋体" w:eastAsia="宋体"/>
          <w:sz w:val="28"/>
          <w:szCs w:val="28"/>
        </w:rPr>
      </w:pPr>
      <w:r>
        <w:rPr>
          <w:rFonts w:hint="eastAsia" w:ascii="宋体" w:hAnsi="宋体" w:eastAsia="宋体"/>
          <w:sz w:val="28"/>
          <w:szCs w:val="28"/>
        </w:rPr>
        <w:t>知识产权审查报告是否符合要求；</w:t>
      </w:r>
    </w:p>
    <w:p>
      <w:pPr>
        <w:pStyle w:val="66"/>
        <w:keepNext w:val="0"/>
        <w:keepLines w:val="0"/>
        <w:pageBreakBefore w:val="0"/>
        <w:widowControl w:val="0"/>
        <w:numPr>
          <w:ilvl w:val="0"/>
          <w:numId w:val="3"/>
        </w:numPr>
        <w:kinsoku/>
        <w:wordWrap/>
        <w:overflowPunct/>
        <w:topLinePunct w:val="0"/>
        <w:autoSpaceDE/>
        <w:autoSpaceDN/>
        <w:bidi w:val="0"/>
        <w:snapToGrid/>
        <w:spacing w:line="360" w:lineRule="auto"/>
        <w:ind w:right="0" w:rightChars="0" w:firstLineChars="0"/>
        <w:jc w:val="both"/>
        <w:textAlignment w:val="auto"/>
        <w:outlineLvl w:val="9"/>
        <w:rPr>
          <w:rFonts w:ascii="宋体" w:hAnsi="宋体" w:eastAsia="宋体"/>
          <w:sz w:val="28"/>
          <w:szCs w:val="28"/>
        </w:rPr>
      </w:pPr>
      <w:r>
        <w:rPr>
          <w:rFonts w:hint="eastAsia" w:ascii="宋体" w:hAnsi="宋体" w:eastAsia="宋体"/>
          <w:sz w:val="28"/>
          <w:szCs w:val="28"/>
        </w:rPr>
        <w:t>审计报告反映的问题是否准确、客观、全面；</w:t>
      </w:r>
    </w:p>
    <w:p>
      <w:pPr>
        <w:pStyle w:val="66"/>
        <w:keepNext w:val="0"/>
        <w:keepLines w:val="0"/>
        <w:pageBreakBefore w:val="0"/>
        <w:widowControl w:val="0"/>
        <w:numPr>
          <w:ilvl w:val="0"/>
          <w:numId w:val="3"/>
        </w:numPr>
        <w:kinsoku/>
        <w:wordWrap/>
        <w:overflowPunct/>
        <w:topLinePunct w:val="0"/>
        <w:autoSpaceDE/>
        <w:autoSpaceDN/>
        <w:bidi w:val="0"/>
        <w:snapToGrid/>
        <w:spacing w:line="360" w:lineRule="auto"/>
        <w:ind w:right="0" w:rightChars="0" w:firstLineChars="0"/>
        <w:jc w:val="both"/>
        <w:textAlignment w:val="auto"/>
        <w:outlineLvl w:val="9"/>
        <w:rPr>
          <w:rFonts w:ascii="宋体" w:hAnsi="宋体" w:eastAsia="宋体"/>
          <w:sz w:val="28"/>
          <w:szCs w:val="28"/>
        </w:rPr>
      </w:pPr>
      <w:r>
        <w:rPr>
          <w:rFonts w:hint="eastAsia" w:ascii="宋体" w:hAnsi="宋体" w:eastAsia="宋体"/>
          <w:sz w:val="28"/>
          <w:szCs w:val="28"/>
        </w:rPr>
        <w:t>档案检查意见是否符合要求；</w:t>
      </w:r>
    </w:p>
    <w:p>
      <w:pPr>
        <w:pStyle w:val="66"/>
        <w:keepNext w:val="0"/>
        <w:keepLines w:val="0"/>
        <w:pageBreakBefore w:val="0"/>
        <w:widowControl w:val="0"/>
        <w:numPr>
          <w:ilvl w:val="0"/>
          <w:numId w:val="3"/>
        </w:numPr>
        <w:kinsoku/>
        <w:wordWrap/>
        <w:overflowPunct/>
        <w:topLinePunct w:val="0"/>
        <w:autoSpaceDE/>
        <w:autoSpaceDN/>
        <w:bidi w:val="0"/>
        <w:snapToGrid/>
        <w:spacing w:line="360" w:lineRule="auto"/>
        <w:ind w:right="0" w:rightChars="0" w:firstLineChars="0"/>
        <w:jc w:val="both"/>
        <w:textAlignment w:val="auto"/>
        <w:outlineLvl w:val="9"/>
        <w:rPr>
          <w:rFonts w:ascii="宋体" w:hAnsi="宋体" w:eastAsia="宋体"/>
          <w:sz w:val="28"/>
          <w:szCs w:val="28"/>
        </w:rPr>
      </w:pPr>
      <w:r>
        <w:rPr>
          <w:rFonts w:hint="eastAsia" w:ascii="宋体" w:hAnsi="宋体" w:eastAsia="宋体"/>
          <w:sz w:val="28"/>
          <w:szCs w:val="28"/>
        </w:rPr>
        <w:t>其他材料是否符合要求。</w:t>
      </w:r>
    </w:p>
    <w:p>
      <w:pPr>
        <w:keepNext w:val="0"/>
        <w:keepLines w:val="0"/>
        <w:pageBreakBefore w:val="0"/>
        <w:widowControl w:val="0"/>
        <w:numPr>
          <w:ilvl w:val="0"/>
          <w:numId w:val="2"/>
        </w:numPr>
        <w:kinsoku/>
        <w:wordWrap/>
        <w:overflowPunct/>
        <w:topLinePunct w:val="0"/>
        <w:autoSpaceDE/>
        <w:autoSpaceDN/>
        <w:bidi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审查工作原则上应在收到综合绩效评价资料后25个工作日内完成。对于通过审查的课题，及时依据申请与课题承担单位、责任专家商定综合绩效评价时间；对于未通过审查的课题，应及时通知课题承担单位1</w:t>
      </w:r>
      <w:r>
        <w:rPr>
          <w:rFonts w:ascii="宋体" w:hAnsi="宋体" w:eastAsia="宋体"/>
          <w:sz w:val="28"/>
          <w:szCs w:val="28"/>
        </w:rPr>
        <w:t>5</w:t>
      </w:r>
      <w:r>
        <w:rPr>
          <w:rFonts w:hint="eastAsia" w:ascii="宋体" w:hAnsi="宋体" w:eastAsia="宋体"/>
          <w:sz w:val="28"/>
          <w:szCs w:val="28"/>
        </w:rPr>
        <w:t>个工作日内补充或修改材料。</w:t>
      </w:r>
    </w:p>
    <w:p>
      <w:pPr>
        <w:keepNext w:val="0"/>
        <w:keepLines w:val="0"/>
        <w:pageBreakBefore w:val="0"/>
        <w:widowControl w:val="0"/>
        <w:numPr>
          <w:ilvl w:val="1"/>
          <w:numId w:val="1"/>
        </w:numPr>
        <w:kinsoku/>
        <w:wordWrap/>
        <w:overflowPunct/>
        <w:topLinePunct w:val="0"/>
        <w:autoSpaceDE/>
        <w:autoSpaceDN/>
        <w:bidi w:val="0"/>
        <w:snapToGrid/>
        <w:spacing w:line="360" w:lineRule="auto"/>
        <w:ind w:left="0" w:right="0" w:rightChars="0" w:firstLine="0"/>
        <w:jc w:val="center"/>
        <w:textAlignment w:val="auto"/>
        <w:outlineLvl w:val="9"/>
        <w:rPr>
          <w:rFonts w:ascii="黑体" w:hAnsi="黑体" w:eastAsia="黑体"/>
          <w:sz w:val="28"/>
          <w:szCs w:val="28"/>
        </w:rPr>
      </w:pPr>
      <w:r>
        <w:rPr>
          <w:rFonts w:hint="eastAsia" w:ascii="黑体" w:hAnsi="黑体" w:eastAsia="黑体"/>
          <w:sz w:val="28"/>
          <w:szCs w:val="28"/>
        </w:rPr>
        <w:t>综合绩效评价的开展</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中心根据不同课题类型，组织课题综合绩效评价专家组，采用会议审查、实地考察、现场测试、功能演示等方式开展综合绩效评价工作。根据需要，可以采取一种或多种方式。</w:t>
      </w:r>
    </w:p>
    <w:p>
      <w:pPr>
        <w:keepNext w:val="0"/>
        <w:keepLines w:val="0"/>
        <w:pageBreakBefore w:val="0"/>
        <w:widowControl w:val="0"/>
        <w:numPr>
          <w:ilvl w:val="255"/>
          <w:numId w:val="0"/>
        </w:numPr>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对于有测试要求的课题，应商课题责任专家，根据需要安排现场抽测，对需要现场抽测但搭建抽测环境难度较大的课题，可出具说明并请责任专家签字，可不安排抽测。</w:t>
      </w:r>
    </w:p>
    <w:p>
      <w:pPr>
        <w:keepNext w:val="0"/>
        <w:keepLines w:val="0"/>
        <w:pageBreakBefore w:val="0"/>
        <w:widowControl w:val="0"/>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对于有推广应用、示范要求的课题，应采用实地考察等方式进行综合绩效评价。</w:t>
      </w:r>
    </w:p>
    <w:p>
      <w:pPr>
        <w:keepNext w:val="0"/>
        <w:keepLines w:val="0"/>
        <w:pageBreakBefore w:val="0"/>
        <w:widowControl w:val="0"/>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对于成果已经得到应用的课题，要有用户代表参加，根据用户报告或在充分听取用户意见的基础上，形成综合绩效评价意见。</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对于同一类型、具有上下游关系或具有很强相关性的课题，按照“统一设计、同期验收”的原则，以“课题群”的方式进行综合绩效评价，并注重评价相关课题之间衔接互动和成果集成的情况。</w:t>
      </w:r>
    </w:p>
    <w:p>
      <w:pPr>
        <w:keepNext w:val="0"/>
        <w:keepLines w:val="0"/>
        <w:pageBreakBefore w:val="0"/>
        <w:widowControl w:val="0"/>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对于具有应用目标和产业化目标的课题，要按照“下家考核上家、系统考核部件、应用考核技术、市场考核产品”的方式进行成果评价。</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综合绩效评价专家组原则上不少于11人，由相关技术专家、财务专家（2人）、档案检查专家（1人）等共同组成，组长由技术专家担任，副组长由财务专家担任。</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综合绩效评价专家组应当独立、客观、公正地开展课题综合绩效评价工作，依据综合绩效评价内容、课题考核指标等出具综合绩效评价意见，认定课题经费支出与结余。</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开展课题综合绩效评价时，专家组在审阅资料、听取汇报和质询等基础上对课题进行综合评价：</w:t>
      </w:r>
    </w:p>
    <w:p>
      <w:pPr>
        <w:keepNext w:val="0"/>
        <w:keepLines w:val="0"/>
        <w:pageBreakBefore w:val="0"/>
        <w:widowControl w:val="0"/>
        <w:numPr>
          <w:ilvl w:val="255"/>
          <w:numId w:val="0"/>
        </w:numPr>
        <w:tabs>
          <w:tab w:val="left" w:pos="1980"/>
          <w:tab w:val="left" w:pos="2520"/>
        </w:tabs>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在技术方面，重点对课题合同计划任务的完成、合同规定的目标和考核指标的完成、课题对重大专项总体目标发挥作用、成果水平及其应用、直接经济效益和社会效益、人才培养与团队建设、组织管理和机制创新等情况进行评价，并由技术专家填写综合绩效评价技术专家意见表（见附件4），出具综合绩效评价专家组意见，由专家组组长签字（见附件</w:t>
      </w:r>
      <w:r>
        <w:rPr>
          <w:rFonts w:ascii="宋体" w:hAnsi="宋体" w:eastAsia="宋体"/>
          <w:sz w:val="28"/>
          <w:szCs w:val="28"/>
        </w:rPr>
        <w:t>5</w:t>
      </w:r>
      <w:r>
        <w:rPr>
          <w:rFonts w:hint="eastAsia" w:ascii="宋体" w:hAnsi="宋体" w:eastAsia="宋体"/>
          <w:sz w:val="28"/>
          <w:szCs w:val="28"/>
        </w:rPr>
        <w:t>）。</w:t>
      </w:r>
    </w:p>
    <w:p>
      <w:pPr>
        <w:keepNext w:val="0"/>
        <w:keepLines w:val="0"/>
        <w:pageBreakBefore w:val="0"/>
        <w:widowControl w:val="0"/>
        <w:numPr>
          <w:ilvl w:val="255"/>
          <w:numId w:val="0"/>
        </w:numPr>
        <w:tabs>
          <w:tab w:val="left" w:pos="1980"/>
          <w:tab w:val="left" w:pos="2520"/>
        </w:tabs>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在财务方面，重点对</w:t>
      </w:r>
      <w:r>
        <w:rPr>
          <w:rFonts w:ascii="宋体" w:hAnsi="宋体" w:eastAsia="宋体"/>
          <w:sz w:val="28"/>
          <w:szCs w:val="28"/>
        </w:rPr>
        <w:t>财务管理及相关制度建设情况、资金到位和拨付情况、会计核算和</w:t>
      </w:r>
      <w:r>
        <w:rPr>
          <w:rFonts w:hint="eastAsia" w:ascii="宋体" w:hAnsi="宋体" w:eastAsia="宋体"/>
          <w:sz w:val="28"/>
          <w:szCs w:val="28"/>
        </w:rPr>
        <w:t>经费</w:t>
      </w:r>
      <w:r>
        <w:rPr>
          <w:rFonts w:ascii="宋体" w:hAnsi="宋体" w:eastAsia="宋体"/>
          <w:sz w:val="28"/>
          <w:szCs w:val="28"/>
        </w:rPr>
        <w:t>支出情况、预算执行</w:t>
      </w:r>
      <w:r>
        <w:rPr>
          <w:rFonts w:hint="eastAsia" w:ascii="宋体" w:hAnsi="宋体" w:eastAsia="宋体"/>
          <w:sz w:val="28"/>
          <w:szCs w:val="28"/>
        </w:rPr>
        <w:t>与调整、</w:t>
      </w:r>
      <w:r>
        <w:rPr>
          <w:rFonts w:ascii="宋体" w:hAnsi="宋体" w:eastAsia="宋体"/>
          <w:sz w:val="28"/>
          <w:szCs w:val="28"/>
        </w:rPr>
        <w:t>资产管理等情况</w:t>
      </w:r>
      <w:r>
        <w:rPr>
          <w:rFonts w:hint="eastAsia" w:ascii="宋体" w:hAnsi="宋体" w:eastAsia="宋体"/>
          <w:sz w:val="28"/>
          <w:szCs w:val="28"/>
        </w:rPr>
        <w:t>进行评价，在此基础上确定课题资金结余，并由财务专家填写综合绩效评价财务专家意见表（见附件</w:t>
      </w:r>
      <w:r>
        <w:rPr>
          <w:rFonts w:ascii="宋体" w:hAnsi="宋体" w:eastAsia="宋体"/>
          <w:sz w:val="28"/>
          <w:szCs w:val="28"/>
        </w:rPr>
        <w:t>6</w:t>
      </w:r>
      <w:r>
        <w:rPr>
          <w:rFonts w:hint="eastAsia" w:ascii="宋体" w:hAnsi="宋体" w:eastAsia="宋体"/>
          <w:sz w:val="28"/>
          <w:szCs w:val="28"/>
        </w:rPr>
        <w:t>），出具资金评议专家组意见，由综合绩效评价专家组副组长签字（见附件7）。</w:t>
      </w:r>
    </w:p>
    <w:p>
      <w:pPr>
        <w:keepNext w:val="0"/>
        <w:keepLines w:val="0"/>
        <w:pageBreakBefore w:val="0"/>
        <w:widowControl w:val="0"/>
        <w:numPr>
          <w:ilvl w:val="255"/>
          <w:numId w:val="0"/>
        </w:numPr>
        <w:tabs>
          <w:tab w:val="left" w:pos="1980"/>
          <w:tab w:val="left" w:pos="2520"/>
        </w:tabs>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在档案方面，重点对档案的完整、齐全情况；档案的分类、整理、组卷、装盒等情况；纸质档案与电子档案对应及真实情况等进行评价，并由档案专家填写综合绩效评价档案专家意见表（见附件</w:t>
      </w:r>
      <w:r>
        <w:rPr>
          <w:rFonts w:ascii="宋体" w:hAnsi="宋体" w:eastAsia="宋体"/>
          <w:sz w:val="28"/>
          <w:szCs w:val="28"/>
        </w:rPr>
        <w:t>8</w:t>
      </w:r>
      <w:r>
        <w:rPr>
          <w:rFonts w:hint="eastAsia" w:ascii="宋体" w:hAnsi="宋体" w:eastAsia="宋体"/>
          <w:sz w:val="28"/>
          <w:szCs w:val="28"/>
        </w:rPr>
        <w:t>）。</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综合绩效评价结论分为“通过”（包括“整改后通过”）和“不通过”。综合绩效评价技术得分总分值为</w:t>
      </w:r>
      <w:r>
        <w:rPr>
          <w:rFonts w:ascii="宋体" w:hAnsi="宋体" w:eastAsia="宋体"/>
          <w:sz w:val="28"/>
          <w:szCs w:val="28"/>
        </w:rPr>
        <w:t>100</w:t>
      </w:r>
      <w:r>
        <w:rPr>
          <w:rFonts w:hint="eastAsia" w:ascii="宋体" w:hAnsi="宋体" w:eastAsia="宋体"/>
          <w:sz w:val="28"/>
          <w:szCs w:val="28"/>
        </w:rPr>
        <w:t>分，平均得分大于等于</w:t>
      </w:r>
      <w:r>
        <w:rPr>
          <w:rFonts w:ascii="宋体" w:hAnsi="宋体" w:eastAsia="宋体"/>
          <w:sz w:val="28"/>
          <w:szCs w:val="28"/>
        </w:rPr>
        <w:t>80</w:t>
      </w:r>
      <w:r>
        <w:rPr>
          <w:rFonts w:hint="eastAsia" w:ascii="宋体" w:hAnsi="宋体" w:eastAsia="宋体"/>
          <w:sz w:val="28"/>
          <w:szCs w:val="28"/>
        </w:rPr>
        <w:t>分的，综合绩效评价结论为“通过”；平均得分小于60分的，综合绩效评价结论为“不通过”；平均得分大于等于</w:t>
      </w:r>
      <w:r>
        <w:rPr>
          <w:rFonts w:ascii="宋体" w:hAnsi="宋体" w:eastAsia="宋体"/>
          <w:sz w:val="28"/>
          <w:szCs w:val="28"/>
        </w:rPr>
        <w:t>60</w:t>
      </w:r>
      <w:r>
        <w:rPr>
          <w:rFonts w:hint="eastAsia" w:ascii="宋体" w:hAnsi="宋体" w:eastAsia="宋体"/>
          <w:sz w:val="28"/>
          <w:szCs w:val="28"/>
        </w:rPr>
        <w:t>分且小于</w:t>
      </w:r>
      <w:r>
        <w:rPr>
          <w:rFonts w:ascii="宋体" w:hAnsi="宋体" w:eastAsia="宋体"/>
          <w:sz w:val="28"/>
          <w:szCs w:val="28"/>
        </w:rPr>
        <w:t>80</w:t>
      </w:r>
      <w:r>
        <w:rPr>
          <w:rFonts w:hint="eastAsia" w:ascii="宋体" w:hAnsi="宋体" w:eastAsia="宋体"/>
          <w:sz w:val="28"/>
          <w:szCs w:val="28"/>
        </w:rPr>
        <w:t>分的，专家组可建议“整改后重新评价”，整改到位的结论为“整改后通过”，整改不到位的结论为“不通过”。</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存在下列情况之一的课题不得通过综合绩效评价。</w:t>
      </w:r>
    </w:p>
    <w:p>
      <w:pPr>
        <w:keepNext w:val="0"/>
        <w:keepLines w:val="0"/>
        <w:pageBreakBefore w:val="0"/>
        <w:widowControl w:val="0"/>
        <w:numPr>
          <w:ilvl w:val="0"/>
          <w:numId w:val="4"/>
        </w:numPr>
        <w:tabs>
          <w:tab w:val="left" w:pos="1980"/>
          <w:tab w:val="left" w:pos="2520"/>
        </w:tabs>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未达到合同约定的主要技术经济指标；</w:t>
      </w:r>
    </w:p>
    <w:p>
      <w:pPr>
        <w:keepNext w:val="0"/>
        <w:keepLines w:val="0"/>
        <w:pageBreakBefore w:val="0"/>
        <w:widowControl w:val="0"/>
        <w:numPr>
          <w:ilvl w:val="0"/>
          <w:numId w:val="4"/>
        </w:numPr>
        <w:tabs>
          <w:tab w:val="left" w:pos="1980"/>
          <w:tab w:val="left" w:pos="2520"/>
        </w:tabs>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提供的综合绩效评价文件、资料、数据不真实；</w:t>
      </w:r>
    </w:p>
    <w:p>
      <w:pPr>
        <w:keepNext w:val="0"/>
        <w:keepLines w:val="0"/>
        <w:pageBreakBefore w:val="0"/>
        <w:widowControl w:val="0"/>
        <w:numPr>
          <w:ilvl w:val="0"/>
          <w:numId w:val="4"/>
        </w:numPr>
        <w:tabs>
          <w:tab w:val="left" w:pos="1980"/>
          <w:tab w:val="left" w:pos="2520"/>
        </w:tabs>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擅自修改课题任务合同书的考核目标、内容、技术路线等。</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专家组建议“整改后重新评价”的课题，应在接到整改通知</w:t>
      </w:r>
      <w:r>
        <w:rPr>
          <w:rFonts w:ascii="宋体" w:hAnsi="宋体" w:eastAsia="宋体"/>
          <w:sz w:val="28"/>
          <w:szCs w:val="28"/>
        </w:rPr>
        <w:t>3</w:t>
      </w:r>
      <w:r>
        <w:rPr>
          <w:rFonts w:hint="eastAsia" w:ascii="宋体" w:hAnsi="宋体" w:eastAsia="宋体"/>
          <w:sz w:val="28"/>
          <w:szCs w:val="28"/>
        </w:rPr>
        <w:t>个月内完成整改，将整改情况书面报告中心，并提请重新开展综合绩效评价。每个课题原则上只有一次整改机会。</w:t>
      </w:r>
    </w:p>
    <w:p>
      <w:pPr>
        <w:keepNext w:val="0"/>
        <w:keepLines w:val="0"/>
        <w:pageBreakBefore w:val="0"/>
        <w:widowControl w:val="0"/>
        <w:numPr>
          <w:ilvl w:val="1"/>
          <w:numId w:val="1"/>
        </w:numPr>
        <w:kinsoku/>
        <w:wordWrap/>
        <w:overflowPunct/>
        <w:topLinePunct w:val="0"/>
        <w:autoSpaceDE/>
        <w:autoSpaceDN/>
        <w:bidi w:val="0"/>
        <w:snapToGrid/>
        <w:spacing w:line="360" w:lineRule="auto"/>
        <w:ind w:left="0" w:right="0" w:rightChars="0" w:firstLine="0"/>
        <w:jc w:val="center"/>
        <w:textAlignment w:val="auto"/>
        <w:outlineLvl w:val="9"/>
        <w:rPr>
          <w:rFonts w:ascii="黑体" w:hAnsi="黑体" w:eastAsia="黑体"/>
          <w:sz w:val="28"/>
          <w:szCs w:val="28"/>
        </w:rPr>
      </w:pPr>
      <w:r>
        <w:rPr>
          <w:rFonts w:hint="eastAsia" w:ascii="黑体" w:hAnsi="黑体" w:eastAsia="黑体"/>
          <w:sz w:val="28"/>
          <w:szCs w:val="28"/>
        </w:rPr>
        <w:t>综合绩效评价后续工作</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课题完成综合绩效评价工作后，课题承担单位应当在1个月内办理完毕财务结账手续，并按照《国家科技重大专项（民口）档案管理规定》将相关纸质和电子档案汇总后移交中心归档。</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中心根据课题综合绩效评价情况，形成课题综合绩效评价结论，于课题完成档案移交后</w:t>
      </w:r>
      <w:r>
        <w:rPr>
          <w:rFonts w:ascii="宋体" w:hAnsi="宋体" w:eastAsia="宋体"/>
          <w:sz w:val="28"/>
          <w:szCs w:val="28"/>
        </w:rPr>
        <w:t>1个月内</w:t>
      </w:r>
      <w:r>
        <w:rPr>
          <w:rFonts w:hint="eastAsia" w:ascii="宋体" w:hAnsi="宋体" w:eastAsia="宋体"/>
          <w:sz w:val="28"/>
          <w:szCs w:val="28"/>
        </w:rPr>
        <w:t>通知课题承担单位（见附件</w:t>
      </w:r>
      <w:r>
        <w:rPr>
          <w:rFonts w:ascii="宋体" w:hAnsi="宋体" w:eastAsia="宋体"/>
          <w:sz w:val="28"/>
          <w:szCs w:val="28"/>
        </w:rPr>
        <w:t>9</w:t>
      </w:r>
      <w:r>
        <w:rPr>
          <w:rFonts w:hint="eastAsia" w:ascii="宋体" w:hAnsi="宋体" w:eastAsia="宋体"/>
          <w:sz w:val="28"/>
          <w:szCs w:val="28"/>
        </w:rPr>
        <w:t>）。</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存在下列情况之一的，课题结余资金应按照财政部要求退回。</w:t>
      </w:r>
    </w:p>
    <w:p>
      <w:pPr>
        <w:keepNext w:val="0"/>
        <w:keepLines w:val="0"/>
        <w:pageBreakBefore w:val="0"/>
        <w:widowControl w:val="0"/>
        <w:numPr>
          <w:ilvl w:val="0"/>
          <w:numId w:val="5"/>
        </w:numPr>
        <w:tabs>
          <w:tab w:val="left" w:pos="1980"/>
          <w:tab w:val="left" w:pos="2520"/>
        </w:tabs>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课题综合绩效评价结论为“不通过”或“整改后通过”的；</w:t>
      </w:r>
    </w:p>
    <w:p>
      <w:pPr>
        <w:keepNext w:val="0"/>
        <w:keepLines w:val="0"/>
        <w:pageBreakBefore w:val="0"/>
        <w:widowControl w:val="0"/>
        <w:numPr>
          <w:ilvl w:val="0"/>
          <w:numId w:val="5"/>
        </w:numPr>
        <w:tabs>
          <w:tab w:val="left" w:pos="1980"/>
          <w:tab w:val="left" w:pos="2520"/>
        </w:tabs>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课题资金评议得分为80分及以下的；</w:t>
      </w:r>
    </w:p>
    <w:p>
      <w:pPr>
        <w:keepNext w:val="0"/>
        <w:keepLines w:val="0"/>
        <w:pageBreakBefore w:val="0"/>
        <w:widowControl w:val="0"/>
        <w:numPr>
          <w:ilvl w:val="0"/>
          <w:numId w:val="5"/>
        </w:numPr>
        <w:tabs>
          <w:tab w:val="left" w:pos="1980"/>
          <w:tab w:val="left" w:pos="2520"/>
        </w:tabs>
        <w:kinsoku/>
        <w:wordWrap/>
        <w:overflowPunct/>
        <w:topLinePunct w:val="0"/>
        <w:autoSpaceDE/>
        <w:autoSpaceDN/>
        <w:bidi w:val="0"/>
        <w:snapToGrid/>
        <w:spacing w:line="360" w:lineRule="auto"/>
        <w:ind w:right="0" w:rightChars="0" w:firstLine="480"/>
        <w:jc w:val="both"/>
        <w:textAlignment w:val="auto"/>
        <w:outlineLvl w:val="9"/>
        <w:rPr>
          <w:rFonts w:ascii="宋体" w:hAnsi="宋体" w:eastAsia="宋体"/>
          <w:sz w:val="28"/>
          <w:szCs w:val="28"/>
        </w:rPr>
      </w:pPr>
      <w:r>
        <w:rPr>
          <w:rFonts w:hint="eastAsia" w:ascii="宋体" w:hAnsi="宋体" w:eastAsia="宋体"/>
          <w:sz w:val="28"/>
          <w:szCs w:val="28"/>
        </w:rPr>
        <w:t>课题承担单位信用评价差的。</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对审计、年度监督评估等监督检查及课题综合绩效评价时发现的违规资金，课题承担单位应及时收缴，按照财政部要求退回。</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留用的结余资金由各单位在2年内（自综合绩效评价结论下达后次年的1月1日起计算）统筹用于本单位科研活动的直接支出。2年后结余未使用完的，应及时按财政部要求退回。</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中心应及时做好课题文件资料整理和归档工作，于每年6月底及12月底，将课题及管理档案移交至科技部重大专项办公室，并纳入国家科技管理信息系统。同时将课题上报的科技报告纳入统一的国家科技报告体系。</w:t>
      </w:r>
    </w:p>
    <w:p>
      <w:pPr>
        <w:keepNext w:val="0"/>
        <w:keepLines w:val="0"/>
        <w:pageBreakBefore w:val="0"/>
        <w:widowControl w:val="0"/>
        <w:numPr>
          <w:ilvl w:val="1"/>
          <w:numId w:val="1"/>
        </w:numPr>
        <w:kinsoku/>
        <w:wordWrap/>
        <w:overflowPunct/>
        <w:topLinePunct w:val="0"/>
        <w:autoSpaceDE/>
        <w:autoSpaceDN/>
        <w:bidi w:val="0"/>
        <w:snapToGrid/>
        <w:spacing w:line="360" w:lineRule="auto"/>
        <w:ind w:left="0" w:right="0" w:rightChars="0" w:firstLine="0"/>
        <w:jc w:val="center"/>
        <w:textAlignment w:val="auto"/>
        <w:outlineLvl w:val="9"/>
        <w:rPr>
          <w:rFonts w:ascii="黑体" w:hAnsi="黑体" w:eastAsia="黑体"/>
          <w:sz w:val="28"/>
          <w:szCs w:val="28"/>
        </w:rPr>
      </w:pPr>
      <w:r>
        <w:rPr>
          <w:rFonts w:hint="eastAsia" w:ascii="黑体" w:hAnsi="黑体" w:eastAsia="黑体"/>
          <w:sz w:val="28"/>
          <w:szCs w:val="28"/>
        </w:rPr>
        <w:t>相关责任</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到期无故不申请综合绩效评价、拒不整改或虚假整改的课题，按综合绩效评价“不通过”处理。综合绩效评价结论为“不通过”的课题，中心将不再受理其课题负责人以及直接责任人的重大专项课题申请，并在5年内将不再受理牵头承担单位以及具有直接责任的参与单位申报该重大专项的课题，同时按照信用管理相关规定进行记录和评价。</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对在课题综合绩效评价过程中发现的弄虚作假、截留、挪用、挤占、骗取重大专项资金等行为，一经查实，将终止或取消其课题负责人和课题承担单位继续承担重大专项课题的资格，并报请有关部门按照有关规定追究相关责任人和单位的责任。</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在课题综合绩效评价过程中，如发现被评价课题用其他课题成果进行冲抵，则该课题以“不通过”处理，并酌情追究课题承担单位和相关负责人的责任。</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中心对第三方测试、第三方审计、第三方知识产权审查等进行抽查监督，相关结果将作为对相关责任主体进行信用记录的重要依据。</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在课题综合绩效评价过程中，中心相关工作人员、综合绩效评价专家组成员和相关机构有弄虚作假、徇私舞弊或玩忽职守等行为的，将终止或取消其参与重大专项各项任务和工作的资格，并计入信用记录，情节严重的给予通报批评。如有违反国家法律法规行为的，报请有关部门按有关法律法规处理。</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参加课题综合绩效评价的有关人员未经允许擅自披露、使用或者向他人提供和转让被评价课题成果的，一经查实，将终止或取消其参与重大专项各项任务和工作的资格，记入中心科技信用档案；给国家、社会造成损失的，报请有关部门依照有关规定和法律追究责任。涉及国家技术秘密的，按有关法律法规处理。</w:t>
      </w:r>
    </w:p>
    <w:p>
      <w:pPr>
        <w:keepNext w:val="0"/>
        <w:keepLines w:val="0"/>
        <w:pageBreakBefore w:val="0"/>
        <w:widowControl w:val="0"/>
        <w:numPr>
          <w:ilvl w:val="1"/>
          <w:numId w:val="1"/>
        </w:numPr>
        <w:kinsoku/>
        <w:wordWrap/>
        <w:overflowPunct/>
        <w:topLinePunct w:val="0"/>
        <w:autoSpaceDE/>
        <w:autoSpaceDN/>
        <w:bidi w:val="0"/>
        <w:snapToGrid/>
        <w:spacing w:line="360" w:lineRule="auto"/>
        <w:ind w:left="0" w:right="0" w:rightChars="0" w:firstLine="0"/>
        <w:jc w:val="center"/>
        <w:textAlignment w:val="auto"/>
        <w:outlineLvl w:val="9"/>
        <w:rPr>
          <w:rFonts w:ascii="黑体" w:hAnsi="黑体" w:eastAsia="黑体"/>
          <w:sz w:val="28"/>
          <w:szCs w:val="28"/>
        </w:rPr>
      </w:pPr>
      <w:r>
        <w:rPr>
          <w:rFonts w:hint="eastAsia" w:ascii="黑体" w:hAnsi="黑体" w:eastAsia="黑体"/>
          <w:sz w:val="28"/>
          <w:szCs w:val="28"/>
        </w:rPr>
        <w:t>附则</w:t>
      </w:r>
    </w:p>
    <w:p>
      <w:pPr>
        <w:keepNext w:val="0"/>
        <w:keepLines w:val="0"/>
        <w:pageBreakBefore w:val="0"/>
        <w:widowControl w:val="0"/>
        <w:numPr>
          <w:ilvl w:val="0"/>
          <w:numId w:val="2"/>
        </w:numPr>
        <w:kinsoku/>
        <w:wordWrap/>
        <w:overflowPunct/>
        <w:topLinePunct w:val="0"/>
        <w:autoSpaceDE/>
        <w:autoSpaceDN/>
        <w:bidi w:val="0"/>
        <w:adjustRightInd w:val="0"/>
        <w:snapToGrid/>
        <w:spacing w:line="360" w:lineRule="auto"/>
        <w:ind w:right="0" w:rightChars="0"/>
        <w:jc w:val="both"/>
        <w:textAlignment w:val="auto"/>
        <w:outlineLvl w:val="9"/>
        <w:rPr>
          <w:rFonts w:ascii="宋体" w:hAnsi="宋体" w:eastAsia="宋体"/>
          <w:sz w:val="28"/>
          <w:szCs w:val="28"/>
        </w:rPr>
      </w:pPr>
      <w:r>
        <w:rPr>
          <w:rFonts w:hint="eastAsia" w:ascii="宋体" w:hAnsi="宋体" w:eastAsia="宋体"/>
          <w:sz w:val="28"/>
          <w:szCs w:val="28"/>
        </w:rPr>
        <w:t>本细则由中心负责解释，自发布之日起施行。《工业和信息化部产业发展促进中心国家科技重大专项（民口）项目（课题）验收工作细则（暂行）》（产发〔</w:t>
      </w:r>
      <w:r>
        <w:rPr>
          <w:rFonts w:ascii="宋体" w:hAnsi="宋体" w:eastAsia="宋体"/>
          <w:sz w:val="28"/>
          <w:szCs w:val="28"/>
        </w:rPr>
        <w:t>2017</w:t>
      </w:r>
      <w:bookmarkStart w:id="15" w:name="_GoBack"/>
      <w:bookmarkEnd w:id="15"/>
      <w:r>
        <w:rPr>
          <w:rFonts w:hint="eastAsia" w:ascii="宋体" w:hAnsi="宋体" w:eastAsia="宋体"/>
          <w:sz w:val="28"/>
          <w:szCs w:val="28"/>
        </w:rPr>
        <w:t>〕</w:t>
      </w:r>
      <w:r>
        <w:rPr>
          <w:rFonts w:ascii="宋体" w:hAnsi="宋体" w:eastAsia="宋体"/>
          <w:sz w:val="28"/>
          <w:szCs w:val="28"/>
        </w:rPr>
        <w:t>177</w:t>
      </w:r>
      <w:r>
        <w:rPr>
          <w:rFonts w:hint="eastAsia" w:ascii="宋体" w:hAnsi="宋体" w:eastAsia="宋体"/>
          <w:sz w:val="28"/>
          <w:szCs w:val="28"/>
        </w:rPr>
        <w:t>号）同时废止。</w:t>
      </w:r>
    </w:p>
    <w:sectPr>
      <w:headerReference r:id="rId5" w:type="first"/>
      <w:footerReference r:id="rId8" w:type="first"/>
      <w:headerReference r:id="rId3" w:type="default"/>
      <w:footerReference r:id="rId6" w:type="default"/>
      <w:headerReference r:id="rId4" w:type="even"/>
      <w:footerReference r:id="rId7"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Kaiti SC">
    <w:altName w:val="宋体"/>
    <w:panose1 w:val="02010600040101010101"/>
    <w:charset w:val="86"/>
    <w:family w:val="auto"/>
    <w:pitch w:val="default"/>
    <w:sig w:usb0="00000000" w:usb1="00000000" w:usb2="00000016" w:usb3="00000000" w:csb0="0004001F" w:csb1="00000000"/>
  </w:font>
  <w:font w:name="DengXian">
    <w:altName w:val="宋体"/>
    <w:panose1 w:val="00000000000000000000"/>
    <w:charset w:val="86"/>
    <w:family w:val="auto"/>
    <w:pitch w:val="default"/>
    <w:sig w:usb0="00000000" w:usb1="00000000" w:usb2="00000000" w:usb3="00000000" w:csb0="00000000" w:csb1="00000000"/>
  </w:font>
  <w:font w:name="DengXi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eastAsia="宋体"/>
                              <w:sz w:val="18"/>
                            </w:rPr>
                          </w:pPr>
                          <w:r>
                            <w:rPr>
                              <w:rFonts w:hint="eastAsia" w:eastAsia="宋体"/>
                              <w:sz w:val="18"/>
                            </w:rPr>
                            <w:fldChar w:fldCharType="begin"/>
                          </w:r>
                          <w:r>
                            <w:rPr>
                              <w:rFonts w:hint="eastAsia" w:eastAsia="宋体"/>
                              <w:sz w:val="18"/>
                            </w:rPr>
                            <w:instrText xml:space="preserve"> PAGE  \* MERGEFORMAT </w:instrText>
                          </w:r>
                          <w:r>
                            <w:rPr>
                              <w:rFonts w:hint="eastAsia" w:eastAsia="宋体"/>
                              <w:sz w:val="18"/>
                            </w:rPr>
                            <w:fldChar w:fldCharType="separate"/>
                          </w:r>
                          <w:r>
                            <w:rPr>
                              <w:sz w:val="18"/>
                            </w:rPr>
                            <w:t>1</w:t>
                          </w:r>
                          <w:r>
                            <w:rPr>
                              <w:rFonts w:hint="eastAsia" w:eastAsia="宋体"/>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snapToGrid w:val="0"/>
                      <w:rPr>
                        <w:rFonts w:eastAsia="宋体"/>
                        <w:sz w:val="18"/>
                      </w:rPr>
                    </w:pPr>
                    <w:r>
                      <w:rPr>
                        <w:rFonts w:hint="eastAsia" w:eastAsia="宋体"/>
                        <w:sz w:val="18"/>
                      </w:rPr>
                      <w:fldChar w:fldCharType="begin"/>
                    </w:r>
                    <w:r>
                      <w:rPr>
                        <w:rFonts w:hint="eastAsia" w:eastAsia="宋体"/>
                        <w:sz w:val="18"/>
                      </w:rPr>
                      <w:instrText xml:space="preserve"> PAGE  \* MERGEFORMAT </w:instrText>
                    </w:r>
                    <w:r>
                      <w:rPr>
                        <w:rFonts w:hint="eastAsia" w:eastAsia="宋体"/>
                        <w:sz w:val="18"/>
                      </w:rPr>
                      <w:fldChar w:fldCharType="separate"/>
                    </w:r>
                    <w:r>
                      <w:rPr>
                        <w:sz w:val="18"/>
                      </w:rPr>
                      <w:t>1</w:t>
                    </w:r>
                    <w:r>
                      <w:rPr>
                        <w:rFonts w:hint="eastAsia" w:eastAsia="宋体"/>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multilevel"/>
    <w:tmpl w:val="0000001A"/>
    <w:lvl w:ilvl="0" w:tentative="0">
      <w:start w:val="1"/>
      <w:numFmt w:val="japaneseCounting"/>
      <w:lvlText w:val="第%1条"/>
      <w:lvlJc w:val="left"/>
      <w:pPr>
        <w:ind w:left="4247" w:hanging="420"/>
      </w:pPr>
      <w:rPr>
        <w:rFonts w:hint="default" w:ascii="宋体" w:hAnsi="宋体" w:eastAsia="宋体"/>
        <w:b/>
        <w:sz w:val="30"/>
        <w:lang w:val="en-US"/>
      </w:rPr>
    </w:lvl>
    <w:lvl w:ilvl="1" w:tentative="0">
      <w:start w:val="1"/>
      <w:numFmt w:val="japaneseCounting"/>
      <w:lvlText w:val="第%2章"/>
      <w:lvlJc w:val="left"/>
      <w:pPr>
        <w:ind w:left="5447" w:hanging="1200"/>
      </w:pPr>
      <w:rPr>
        <w:rFonts w:hint="default"/>
      </w:rPr>
    </w:lvl>
    <w:lvl w:ilvl="2" w:tentative="0">
      <w:start w:val="1"/>
      <w:numFmt w:val="lowerRoman"/>
      <w:lvlText w:val="%3."/>
      <w:lvlJc w:val="right"/>
      <w:pPr>
        <w:ind w:left="5087" w:hanging="420"/>
      </w:pPr>
    </w:lvl>
    <w:lvl w:ilvl="3" w:tentative="0">
      <w:start w:val="1"/>
      <w:numFmt w:val="decimal"/>
      <w:lvlText w:val="%4."/>
      <w:lvlJc w:val="left"/>
      <w:pPr>
        <w:ind w:left="5507" w:hanging="420"/>
      </w:pPr>
    </w:lvl>
    <w:lvl w:ilvl="4" w:tentative="0">
      <w:start w:val="1"/>
      <w:numFmt w:val="lowerLetter"/>
      <w:lvlText w:val="%5)"/>
      <w:lvlJc w:val="left"/>
      <w:pPr>
        <w:ind w:left="5927" w:hanging="420"/>
      </w:pPr>
    </w:lvl>
    <w:lvl w:ilvl="5" w:tentative="0">
      <w:start w:val="1"/>
      <w:numFmt w:val="lowerRoman"/>
      <w:lvlText w:val="%6."/>
      <w:lvlJc w:val="right"/>
      <w:pPr>
        <w:ind w:left="6347" w:hanging="420"/>
      </w:pPr>
    </w:lvl>
    <w:lvl w:ilvl="6" w:tentative="0">
      <w:start w:val="1"/>
      <w:numFmt w:val="decimal"/>
      <w:lvlText w:val="%7."/>
      <w:lvlJc w:val="left"/>
      <w:pPr>
        <w:ind w:left="6767" w:hanging="420"/>
      </w:pPr>
    </w:lvl>
    <w:lvl w:ilvl="7" w:tentative="0">
      <w:start w:val="1"/>
      <w:numFmt w:val="lowerLetter"/>
      <w:lvlText w:val="%8)"/>
      <w:lvlJc w:val="left"/>
      <w:pPr>
        <w:ind w:left="7187" w:hanging="420"/>
      </w:pPr>
    </w:lvl>
    <w:lvl w:ilvl="8" w:tentative="0">
      <w:start w:val="1"/>
      <w:numFmt w:val="lowerRoman"/>
      <w:lvlText w:val="%9."/>
      <w:lvlJc w:val="right"/>
      <w:pPr>
        <w:ind w:left="7607" w:hanging="420"/>
      </w:pPr>
    </w:lvl>
  </w:abstractNum>
  <w:abstractNum w:abstractNumId="1">
    <w:nsid w:val="0000001D"/>
    <w:multiLevelType w:val="multilevel"/>
    <w:tmpl w:val="0000001D"/>
    <w:lvl w:ilvl="0" w:tentative="0">
      <w:start w:val="1"/>
      <w:numFmt w:val="chineseCounting"/>
      <w:lvlText w:val="    第%1条 "/>
      <w:lvlJc w:val="left"/>
      <w:pPr>
        <w:ind w:left="0" w:firstLine="0"/>
      </w:pPr>
      <w:rPr>
        <w:rFonts w:hint="eastAsia" w:ascii="宋体" w:hAnsi="宋体" w:eastAsia="宋体"/>
        <w:b/>
        <w:sz w:val="24"/>
        <w:szCs w:val="24"/>
      </w:rPr>
    </w:lvl>
    <w:lvl w:ilvl="1" w:tentative="0">
      <w:start w:val="1"/>
      <w:numFmt w:val="lowerLetter"/>
      <w:lvlText w:val="%2)"/>
      <w:lvlJc w:val="left"/>
      <w:pPr>
        <w:ind w:left="2967" w:hanging="420"/>
      </w:pPr>
      <w:rPr>
        <w:rFonts w:hint="eastAsia"/>
      </w:rPr>
    </w:lvl>
    <w:lvl w:ilvl="2" w:tentative="0">
      <w:start w:val="1"/>
      <w:numFmt w:val="lowerRoman"/>
      <w:lvlText w:val="%3."/>
      <w:lvlJc w:val="right"/>
      <w:pPr>
        <w:ind w:left="3387" w:hanging="420"/>
      </w:pPr>
      <w:rPr>
        <w:rFonts w:hint="eastAsia"/>
      </w:rPr>
    </w:lvl>
    <w:lvl w:ilvl="3" w:tentative="0">
      <w:start w:val="1"/>
      <w:numFmt w:val="decimal"/>
      <w:lvlText w:val="%4."/>
      <w:lvlJc w:val="left"/>
      <w:pPr>
        <w:ind w:left="3807" w:hanging="420"/>
      </w:pPr>
      <w:rPr>
        <w:rFonts w:hint="eastAsia"/>
      </w:rPr>
    </w:lvl>
    <w:lvl w:ilvl="4" w:tentative="0">
      <w:start w:val="1"/>
      <w:numFmt w:val="lowerLetter"/>
      <w:lvlText w:val="%5)"/>
      <w:lvlJc w:val="left"/>
      <w:pPr>
        <w:ind w:left="4227" w:hanging="420"/>
      </w:pPr>
      <w:rPr>
        <w:rFonts w:hint="eastAsia"/>
      </w:rPr>
    </w:lvl>
    <w:lvl w:ilvl="5" w:tentative="0">
      <w:start w:val="1"/>
      <w:numFmt w:val="lowerRoman"/>
      <w:lvlText w:val="%6."/>
      <w:lvlJc w:val="right"/>
      <w:pPr>
        <w:ind w:left="4647" w:hanging="420"/>
      </w:pPr>
      <w:rPr>
        <w:rFonts w:hint="eastAsia"/>
      </w:rPr>
    </w:lvl>
    <w:lvl w:ilvl="6" w:tentative="0">
      <w:start w:val="1"/>
      <w:numFmt w:val="decimal"/>
      <w:lvlText w:val="%7."/>
      <w:lvlJc w:val="left"/>
      <w:pPr>
        <w:ind w:left="5067" w:hanging="420"/>
      </w:pPr>
      <w:rPr>
        <w:rFonts w:hint="eastAsia"/>
      </w:rPr>
    </w:lvl>
    <w:lvl w:ilvl="7" w:tentative="0">
      <w:start w:val="1"/>
      <w:numFmt w:val="lowerLetter"/>
      <w:lvlText w:val="%8)"/>
      <w:lvlJc w:val="left"/>
      <w:pPr>
        <w:ind w:left="5487" w:hanging="420"/>
      </w:pPr>
      <w:rPr>
        <w:rFonts w:hint="eastAsia"/>
      </w:rPr>
    </w:lvl>
    <w:lvl w:ilvl="8" w:tentative="0">
      <w:start w:val="1"/>
      <w:numFmt w:val="lowerRoman"/>
      <w:lvlText w:val="%9."/>
      <w:lvlJc w:val="right"/>
      <w:pPr>
        <w:ind w:left="5907" w:hanging="420"/>
      </w:pPr>
      <w:rPr>
        <w:rFonts w:hint="eastAsia"/>
      </w:rPr>
    </w:lvl>
  </w:abstractNum>
  <w:abstractNum w:abstractNumId="2">
    <w:nsid w:val="5C359794"/>
    <w:multiLevelType w:val="singleLevel"/>
    <w:tmpl w:val="5C359794"/>
    <w:lvl w:ilvl="0" w:tentative="0">
      <w:start w:val="1"/>
      <w:numFmt w:val="decimal"/>
      <w:suff w:val="nothing"/>
      <w:lvlText w:val="（%1）"/>
      <w:lvlJc w:val="left"/>
    </w:lvl>
  </w:abstractNum>
  <w:abstractNum w:abstractNumId="3">
    <w:nsid w:val="5C626C9F"/>
    <w:multiLevelType w:val="singleLevel"/>
    <w:tmpl w:val="5C626C9F"/>
    <w:lvl w:ilvl="0" w:tentative="0">
      <w:start w:val="1"/>
      <w:numFmt w:val="chineseCounting"/>
      <w:suff w:val="nothing"/>
      <w:lvlText w:val="（%1）"/>
      <w:lvlJc w:val="left"/>
    </w:lvl>
  </w:abstractNum>
  <w:abstractNum w:abstractNumId="4">
    <w:nsid w:val="6D215274"/>
    <w:multiLevelType w:val="multilevel"/>
    <w:tmpl w:val="6D215274"/>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1"/>
  <w:bordersDoNotSurroundHeader w:val="1"/>
  <w:bordersDoNotSurroundFooter w:val="1"/>
  <w:documentProtection w:enforcement="0"/>
  <w:defaultTabStop w:val="420"/>
  <w:drawingGridHorizontalSpacing w:val="1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3C6"/>
    <w:rsid w:val="000003D6"/>
    <w:rsid w:val="00005376"/>
    <w:rsid w:val="0001052C"/>
    <w:rsid w:val="00012366"/>
    <w:rsid w:val="00012ED8"/>
    <w:rsid w:val="00014AA8"/>
    <w:rsid w:val="00016EEF"/>
    <w:rsid w:val="0002384C"/>
    <w:rsid w:val="00027FBF"/>
    <w:rsid w:val="00035666"/>
    <w:rsid w:val="00045641"/>
    <w:rsid w:val="00046EF1"/>
    <w:rsid w:val="00047A87"/>
    <w:rsid w:val="00053E20"/>
    <w:rsid w:val="00053EB6"/>
    <w:rsid w:val="00056161"/>
    <w:rsid w:val="00062760"/>
    <w:rsid w:val="000668B9"/>
    <w:rsid w:val="00066969"/>
    <w:rsid w:val="00071834"/>
    <w:rsid w:val="00074AC3"/>
    <w:rsid w:val="00076B92"/>
    <w:rsid w:val="00077081"/>
    <w:rsid w:val="0008124E"/>
    <w:rsid w:val="00093C1C"/>
    <w:rsid w:val="00093E98"/>
    <w:rsid w:val="0009410C"/>
    <w:rsid w:val="000A54D8"/>
    <w:rsid w:val="000A6BF6"/>
    <w:rsid w:val="000B1024"/>
    <w:rsid w:val="000B15A4"/>
    <w:rsid w:val="000B282C"/>
    <w:rsid w:val="000B5A0B"/>
    <w:rsid w:val="000C3211"/>
    <w:rsid w:val="000E30E9"/>
    <w:rsid w:val="000E6906"/>
    <w:rsid w:val="000F0886"/>
    <w:rsid w:val="000F0C0C"/>
    <w:rsid w:val="000F1ACD"/>
    <w:rsid w:val="000F1FBE"/>
    <w:rsid w:val="00106654"/>
    <w:rsid w:val="00107679"/>
    <w:rsid w:val="0012081E"/>
    <w:rsid w:val="00125E38"/>
    <w:rsid w:val="001273C3"/>
    <w:rsid w:val="001305A8"/>
    <w:rsid w:val="001334C6"/>
    <w:rsid w:val="001403C8"/>
    <w:rsid w:val="001411D3"/>
    <w:rsid w:val="00146B56"/>
    <w:rsid w:val="00152884"/>
    <w:rsid w:val="00153A7C"/>
    <w:rsid w:val="001546B9"/>
    <w:rsid w:val="00155127"/>
    <w:rsid w:val="0015690C"/>
    <w:rsid w:val="00172C8B"/>
    <w:rsid w:val="00173076"/>
    <w:rsid w:val="001776EA"/>
    <w:rsid w:val="00180C5D"/>
    <w:rsid w:val="00185ED5"/>
    <w:rsid w:val="0018641E"/>
    <w:rsid w:val="00190F75"/>
    <w:rsid w:val="001A07DA"/>
    <w:rsid w:val="001A70FF"/>
    <w:rsid w:val="001B19EE"/>
    <w:rsid w:val="001B1A63"/>
    <w:rsid w:val="001B520E"/>
    <w:rsid w:val="001B74F7"/>
    <w:rsid w:val="001C2BDB"/>
    <w:rsid w:val="001C33E6"/>
    <w:rsid w:val="001C3D30"/>
    <w:rsid w:val="001C4751"/>
    <w:rsid w:val="001C5AE7"/>
    <w:rsid w:val="001D1108"/>
    <w:rsid w:val="001D60B5"/>
    <w:rsid w:val="001D6645"/>
    <w:rsid w:val="001D67BA"/>
    <w:rsid w:val="001E0145"/>
    <w:rsid w:val="001E0F45"/>
    <w:rsid w:val="001E216E"/>
    <w:rsid w:val="001F5D81"/>
    <w:rsid w:val="00206689"/>
    <w:rsid w:val="0021199D"/>
    <w:rsid w:val="002122D6"/>
    <w:rsid w:val="00225364"/>
    <w:rsid w:val="00225752"/>
    <w:rsid w:val="00227F6D"/>
    <w:rsid w:val="00230D37"/>
    <w:rsid w:val="002310B2"/>
    <w:rsid w:val="00233FD6"/>
    <w:rsid w:val="00244E15"/>
    <w:rsid w:val="00245244"/>
    <w:rsid w:val="00252D75"/>
    <w:rsid w:val="00252EAA"/>
    <w:rsid w:val="002534D5"/>
    <w:rsid w:val="002540D7"/>
    <w:rsid w:val="00254F05"/>
    <w:rsid w:val="00260F18"/>
    <w:rsid w:val="00265AF2"/>
    <w:rsid w:val="00266DB4"/>
    <w:rsid w:val="002677A1"/>
    <w:rsid w:val="00275000"/>
    <w:rsid w:val="002812E6"/>
    <w:rsid w:val="00287E5F"/>
    <w:rsid w:val="0029125D"/>
    <w:rsid w:val="00292455"/>
    <w:rsid w:val="002B2D80"/>
    <w:rsid w:val="002B39D6"/>
    <w:rsid w:val="002C3FCD"/>
    <w:rsid w:val="002C4AE8"/>
    <w:rsid w:val="002C6E28"/>
    <w:rsid w:val="002C77C9"/>
    <w:rsid w:val="002D7D67"/>
    <w:rsid w:val="002E3BBF"/>
    <w:rsid w:val="002F2067"/>
    <w:rsid w:val="002F2AFC"/>
    <w:rsid w:val="002F5F1E"/>
    <w:rsid w:val="002F5F47"/>
    <w:rsid w:val="003046D6"/>
    <w:rsid w:val="00304DBE"/>
    <w:rsid w:val="0030542C"/>
    <w:rsid w:val="00305FFF"/>
    <w:rsid w:val="00306DDE"/>
    <w:rsid w:val="00307A3A"/>
    <w:rsid w:val="00312A5E"/>
    <w:rsid w:val="00330B68"/>
    <w:rsid w:val="003330C9"/>
    <w:rsid w:val="00335E3A"/>
    <w:rsid w:val="003425C3"/>
    <w:rsid w:val="00344FC3"/>
    <w:rsid w:val="00345A2D"/>
    <w:rsid w:val="0034716F"/>
    <w:rsid w:val="0035769C"/>
    <w:rsid w:val="00367223"/>
    <w:rsid w:val="00374B2B"/>
    <w:rsid w:val="0038078D"/>
    <w:rsid w:val="0038172F"/>
    <w:rsid w:val="00384D6D"/>
    <w:rsid w:val="00395D6A"/>
    <w:rsid w:val="00397C31"/>
    <w:rsid w:val="003A16F2"/>
    <w:rsid w:val="003A511B"/>
    <w:rsid w:val="003B210C"/>
    <w:rsid w:val="003C61EE"/>
    <w:rsid w:val="003D0869"/>
    <w:rsid w:val="003D0D6C"/>
    <w:rsid w:val="003D7AC2"/>
    <w:rsid w:val="003E13F9"/>
    <w:rsid w:val="003E19A2"/>
    <w:rsid w:val="003E3B45"/>
    <w:rsid w:val="003E4977"/>
    <w:rsid w:val="003E4B2C"/>
    <w:rsid w:val="003E6940"/>
    <w:rsid w:val="003E6C3F"/>
    <w:rsid w:val="003F13CD"/>
    <w:rsid w:val="003F3C6E"/>
    <w:rsid w:val="003F4000"/>
    <w:rsid w:val="0040024C"/>
    <w:rsid w:val="0040225F"/>
    <w:rsid w:val="004023F6"/>
    <w:rsid w:val="00412A22"/>
    <w:rsid w:val="00421CE0"/>
    <w:rsid w:val="0042212C"/>
    <w:rsid w:val="00422695"/>
    <w:rsid w:val="0042635B"/>
    <w:rsid w:val="00430C69"/>
    <w:rsid w:val="00441636"/>
    <w:rsid w:val="00445DEE"/>
    <w:rsid w:val="004472E0"/>
    <w:rsid w:val="00451148"/>
    <w:rsid w:val="0045205A"/>
    <w:rsid w:val="00454F9D"/>
    <w:rsid w:val="00456D2B"/>
    <w:rsid w:val="004602A4"/>
    <w:rsid w:val="0046344D"/>
    <w:rsid w:val="004636F2"/>
    <w:rsid w:val="00463F56"/>
    <w:rsid w:val="00476911"/>
    <w:rsid w:val="00486AAD"/>
    <w:rsid w:val="004875BE"/>
    <w:rsid w:val="00493CCE"/>
    <w:rsid w:val="004A41E8"/>
    <w:rsid w:val="004A50DF"/>
    <w:rsid w:val="004B306A"/>
    <w:rsid w:val="004B3AAA"/>
    <w:rsid w:val="004B3B6A"/>
    <w:rsid w:val="004B3FE3"/>
    <w:rsid w:val="004B5693"/>
    <w:rsid w:val="004C5482"/>
    <w:rsid w:val="004C6695"/>
    <w:rsid w:val="004D75A9"/>
    <w:rsid w:val="004E170A"/>
    <w:rsid w:val="004E256B"/>
    <w:rsid w:val="004E7760"/>
    <w:rsid w:val="004F3C43"/>
    <w:rsid w:val="004F49F1"/>
    <w:rsid w:val="004F5FE7"/>
    <w:rsid w:val="00500844"/>
    <w:rsid w:val="00504CA2"/>
    <w:rsid w:val="00506A66"/>
    <w:rsid w:val="005103D3"/>
    <w:rsid w:val="005254D4"/>
    <w:rsid w:val="00531577"/>
    <w:rsid w:val="00531ADE"/>
    <w:rsid w:val="00536E7F"/>
    <w:rsid w:val="00540DA6"/>
    <w:rsid w:val="005454F2"/>
    <w:rsid w:val="0055042D"/>
    <w:rsid w:val="00556FB0"/>
    <w:rsid w:val="00561063"/>
    <w:rsid w:val="005659D1"/>
    <w:rsid w:val="00567351"/>
    <w:rsid w:val="005677F4"/>
    <w:rsid w:val="00571F1E"/>
    <w:rsid w:val="005730F9"/>
    <w:rsid w:val="005765EA"/>
    <w:rsid w:val="00577BF9"/>
    <w:rsid w:val="00594D12"/>
    <w:rsid w:val="00596B85"/>
    <w:rsid w:val="005A1D38"/>
    <w:rsid w:val="005B560D"/>
    <w:rsid w:val="005C2078"/>
    <w:rsid w:val="005D3A5E"/>
    <w:rsid w:val="005D7844"/>
    <w:rsid w:val="005E0123"/>
    <w:rsid w:val="005E26A3"/>
    <w:rsid w:val="005E2854"/>
    <w:rsid w:val="005F493B"/>
    <w:rsid w:val="005F574A"/>
    <w:rsid w:val="005F7455"/>
    <w:rsid w:val="0060528E"/>
    <w:rsid w:val="0061267A"/>
    <w:rsid w:val="006156F7"/>
    <w:rsid w:val="00615E7C"/>
    <w:rsid w:val="006203B1"/>
    <w:rsid w:val="006210E4"/>
    <w:rsid w:val="006261C5"/>
    <w:rsid w:val="00627E84"/>
    <w:rsid w:val="006374F4"/>
    <w:rsid w:val="0063797E"/>
    <w:rsid w:val="00644FFF"/>
    <w:rsid w:val="006616F9"/>
    <w:rsid w:val="00667F0F"/>
    <w:rsid w:val="0067459B"/>
    <w:rsid w:val="00681ACB"/>
    <w:rsid w:val="00685EC1"/>
    <w:rsid w:val="00686995"/>
    <w:rsid w:val="006908AA"/>
    <w:rsid w:val="00691AF9"/>
    <w:rsid w:val="00693C07"/>
    <w:rsid w:val="0069409F"/>
    <w:rsid w:val="006B0C01"/>
    <w:rsid w:val="006B4BC0"/>
    <w:rsid w:val="006C3493"/>
    <w:rsid w:val="006E656E"/>
    <w:rsid w:val="00704079"/>
    <w:rsid w:val="007101D3"/>
    <w:rsid w:val="00710FCA"/>
    <w:rsid w:val="007127C2"/>
    <w:rsid w:val="007155B1"/>
    <w:rsid w:val="0071682D"/>
    <w:rsid w:val="00716F5A"/>
    <w:rsid w:val="00723BC6"/>
    <w:rsid w:val="00727870"/>
    <w:rsid w:val="00730F9E"/>
    <w:rsid w:val="007312C7"/>
    <w:rsid w:val="00732C03"/>
    <w:rsid w:val="00750A6A"/>
    <w:rsid w:val="0075603B"/>
    <w:rsid w:val="00756083"/>
    <w:rsid w:val="007609D6"/>
    <w:rsid w:val="0076444E"/>
    <w:rsid w:val="00766CAC"/>
    <w:rsid w:val="007715AE"/>
    <w:rsid w:val="00785ACA"/>
    <w:rsid w:val="00786216"/>
    <w:rsid w:val="0079515F"/>
    <w:rsid w:val="007955B5"/>
    <w:rsid w:val="00795F4D"/>
    <w:rsid w:val="007A19EE"/>
    <w:rsid w:val="007A7862"/>
    <w:rsid w:val="007B169B"/>
    <w:rsid w:val="007B2017"/>
    <w:rsid w:val="007B2651"/>
    <w:rsid w:val="007B3BE2"/>
    <w:rsid w:val="007C437D"/>
    <w:rsid w:val="007C60CB"/>
    <w:rsid w:val="007D10AF"/>
    <w:rsid w:val="007D5C58"/>
    <w:rsid w:val="007D6CAF"/>
    <w:rsid w:val="007E0745"/>
    <w:rsid w:val="007E2FD9"/>
    <w:rsid w:val="007E66D9"/>
    <w:rsid w:val="007E7F3D"/>
    <w:rsid w:val="007F0CEB"/>
    <w:rsid w:val="007F1695"/>
    <w:rsid w:val="007F5F55"/>
    <w:rsid w:val="007F6126"/>
    <w:rsid w:val="008028A5"/>
    <w:rsid w:val="00807AD0"/>
    <w:rsid w:val="00813E2A"/>
    <w:rsid w:val="00814FED"/>
    <w:rsid w:val="00816089"/>
    <w:rsid w:val="00824510"/>
    <w:rsid w:val="00840317"/>
    <w:rsid w:val="00840E46"/>
    <w:rsid w:val="00844FA5"/>
    <w:rsid w:val="00850C8A"/>
    <w:rsid w:val="0085114C"/>
    <w:rsid w:val="008541D5"/>
    <w:rsid w:val="00854E7C"/>
    <w:rsid w:val="00871DD8"/>
    <w:rsid w:val="008721F5"/>
    <w:rsid w:val="00873F61"/>
    <w:rsid w:val="00874DA7"/>
    <w:rsid w:val="008777CF"/>
    <w:rsid w:val="00887C95"/>
    <w:rsid w:val="00893028"/>
    <w:rsid w:val="00894225"/>
    <w:rsid w:val="00894BDA"/>
    <w:rsid w:val="0089639A"/>
    <w:rsid w:val="00896A6F"/>
    <w:rsid w:val="008B19B0"/>
    <w:rsid w:val="008B747D"/>
    <w:rsid w:val="008C07FD"/>
    <w:rsid w:val="008C37C0"/>
    <w:rsid w:val="008C5503"/>
    <w:rsid w:val="008D1A71"/>
    <w:rsid w:val="008D3A59"/>
    <w:rsid w:val="008E2481"/>
    <w:rsid w:val="008E535A"/>
    <w:rsid w:val="008E7AB7"/>
    <w:rsid w:val="008E7B1E"/>
    <w:rsid w:val="008F79DC"/>
    <w:rsid w:val="00907C3D"/>
    <w:rsid w:val="00907DD4"/>
    <w:rsid w:val="009123CD"/>
    <w:rsid w:val="00914E30"/>
    <w:rsid w:val="0091745E"/>
    <w:rsid w:val="00924F0C"/>
    <w:rsid w:val="00926A68"/>
    <w:rsid w:val="00926ABD"/>
    <w:rsid w:val="00931C7F"/>
    <w:rsid w:val="009354E6"/>
    <w:rsid w:val="0094286D"/>
    <w:rsid w:val="00943915"/>
    <w:rsid w:val="00953613"/>
    <w:rsid w:val="009538AC"/>
    <w:rsid w:val="00953EBE"/>
    <w:rsid w:val="00954C97"/>
    <w:rsid w:val="00963C25"/>
    <w:rsid w:val="00964919"/>
    <w:rsid w:val="00964B80"/>
    <w:rsid w:val="00971248"/>
    <w:rsid w:val="00972EB7"/>
    <w:rsid w:val="0098009D"/>
    <w:rsid w:val="009858E3"/>
    <w:rsid w:val="009861C5"/>
    <w:rsid w:val="0099065B"/>
    <w:rsid w:val="00993FFC"/>
    <w:rsid w:val="00996C49"/>
    <w:rsid w:val="009974F3"/>
    <w:rsid w:val="009A1E13"/>
    <w:rsid w:val="009A736D"/>
    <w:rsid w:val="009B530F"/>
    <w:rsid w:val="009B7C95"/>
    <w:rsid w:val="009C20D9"/>
    <w:rsid w:val="009C5EFF"/>
    <w:rsid w:val="009D18D7"/>
    <w:rsid w:val="009D4A9F"/>
    <w:rsid w:val="009D60FB"/>
    <w:rsid w:val="009E5033"/>
    <w:rsid w:val="009E7CF1"/>
    <w:rsid w:val="009F0907"/>
    <w:rsid w:val="009F1E94"/>
    <w:rsid w:val="009F4C4E"/>
    <w:rsid w:val="009F6A2E"/>
    <w:rsid w:val="009F73C6"/>
    <w:rsid w:val="00A008E2"/>
    <w:rsid w:val="00A03A3F"/>
    <w:rsid w:val="00A03DDF"/>
    <w:rsid w:val="00A04B36"/>
    <w:rsid w:val="00A061FD"/>
    <w:rsid w:val="00A07EA9"/>
    <w:rsid w:val="00A1406E"/>
    <w:rsid w:val="00A150C6"/>
    <w:rsid w:val="00A16238"/>
    <w:rsid w:val="00A22D9E"/>
    <w:rsid w:val="00A24770"/>
    <w:rsid w:val="00A25DAF"/>
    <w:rsid w:val="00A260ED"/>
    <w:rsid w:val="00A278A7"/>
    <w:rsid w:val="00A338C0"/>
    <w:rsid w:val="00A33BA6"/>
    <w:rsid w:val="00A41458"/>
    <w:rsid w:val="00A42417"/>
    <w:rsid w:val="00A452A8"/>
    <w:rsid w:val="00A462B2"/>
    <w:rsid w:val="00A47EB0"/>
    <w:rsid w:val="00A51E5F"/>
    <w:rsid w:val="00A52214"/>
    <w:rsid w:val="00A52BB8"/>
    <w:rsid w:val="00A53AE9"/>
    <w:rsid w:val="00A54269"/>
    <w:rsid w:val="00A55A55"/>
    <w:rsid w:val="00A56A8C"/>
    <w:rsid w:val="00A57F2F"/>
    <w:rsid w:val="00A604EA"/>
    <w:rsid w:val="00A6255B"/>
    <w:rsid w:val="00A63E3C"/>
    <w:rsid w:val="00A65CB0"/>
    <w:rsid w:val="00A737C4"/>
    <w:rsid w:val="00A75498"/>
    <w:rsid w:val="00A81599"/>
    <w:rsid w:val="00A92CE0"/>
    <w:rsid w:val="00AA0F36"/>
    <w:rsid w:val="00AA1C62"/>
    <w:rsid w:val="00AA7BA5"/>
    <w:rsid w:val="00AB0717"/>
    <w:rsid w:val="00AB4A5D"/>
    <w:rsid w:val="00AB4D17"/>
    <w:rsid w:val="00AB5288"/>
    <w:rsid w:val="00AC5F2F"/>
    <w:rsid w:val="00AC6D72"/>
    <w:rsid w:val="00AD0D87"/>
    <w:rsid w:val="00AD2B80"/>
    <w:rsid w:val="00AD357F"/>
    <w:rsid w:val="00AD3772"/>
    <w:rsid w:val="00AD6199"/>
    <w:rsid w:val="00AD6D5B"/>
    <w:rsid w:val="00AF564A"/>
    <w:rsid w:val="00AF5B78"/>
    <w:rsid w:val="00AF606A"/>
    <w:rsid w:val="00AF7426"/>
    <w:rsid w:val="00B06C86"/>
    <w:rsid w:val="00B10091"/>
    <w:rsid w:val="00B143E3"/>
    <w:rsid w:val="00B2465B"/>
    <w:rsid w:val="00B253F7"/>
    <w:rsid w:val="00B30C40"/>
    <w:rsid w:val="00B32340"/>
    <w:rsid w:val="00B35C21"/>
    <w:rsid w:val="00B43E6B"/>
    <w:rsid w:val="00B5723A"/>
    <w:rsid w:val="00B605FD"/>
    <w:rsid w:val="00B66117"/>
    <w:rsid w:val="00B669B9"/>
    <w:rsid w:val="00B676C0"/>
    <w:rsid w:val="00B72F37"/>
    <w:rsid w:val="00B75C10"/>
    <w:rsid w:val="00B76085"/>
    <w:rsid w:val="00B762D2"/>
    <w:rsid w:val="00B80307"/>
    <w:rsid w:val="00B82A6A"/>
    <w:rsid w:val="00B83EB9"/>
    <w:rsid w:val="00B83FAC"/>
    <w:rsid w:val="00B855E1"/>
    <w:rsid w:val="00B944BD"/>
    <w:rsid w:val="00B95BBF"/>
    <w:rsid w:val="00BA2698"/>
    <w:rsid w:val="00BA6D7E"/>
    <w:rsid w:val="00BB1C0B"/>
    <w:rsid w:val="00BB6F6B"/>
    <w:rsid w:val="00BC4A44"/>
    <w:rsid w:val="00BC5559"/>
    <w:rsid w:val="00BD1802"/>
    <w:rsid w:val="00BD1D5A"/>
    <w:rsid w:val="00BE53B1"/>
    <w:rsid w:val="00BF7F2B"/>
    <w:rsid w:val="00C002CC"/>
    <w:rsid w:val="00C02507"/>
    <w:rsid w:val="00C14D89"/>
    <w:rsid w:val="00C151EC"/>
    <w:rsid w:val="00C226F9"/>
    <w:rsid w:val="00C25032"/>
    <w:rsid w:val="00C31342"/>
    <w:rsid w:val="00C32F2A"/>
    <w:rsid w:val="00C36B02"/>
    <w:rsid w:val="00C42292"/>
    <w:rsid w:val="00C426DB"/>
    <w:rsid w:val="00C541C0"/>
    <w:rsid w:val="00C607D4"/>
    <w:rsid w:val="00C67484"/>
    <w:rsid w:val="00C67A7C"/>
    <w:rsid w:val="00C7448E"/>
    <w:rsid w:val="00C75C37"/>
    <w:rsid w:val="00C82031"/>
    <w:rsid w:val="00C864D9"/>
    <w:rsid w:val="00C91DD2"/>
    <w:rsid w:val="00CA0E1A"/>
    <w:rsid w:val="00CA4FA9"/>
    <w:rsid w:val="00CA66F9"/>
    <w:rsid w:val="00CC1681"/>
    <w:rsid w:val="00CC368A"/>
    <w:rsid w:val="00CD56C1"/>
    <w:rsid w:val="00CD5CAF"/>
    <w:rsid w:val="00CD5DE5"/>
    <w:rsid w:val="00CE26E0"/>
    <w:rsid w:val="00CF1C7B"/>
    <w:rsid w:val="00CF3BD6"/>
    <w:rsid w:val="00D035C9"/>
    <w:rsid w:val="00D11656"/>
    <w:rsid w:val="00D14BCB"/>
    <w:rsid w:val="00D30CF7"/>
    <w:rsid w:val="00D3282C"/>
    <w:rsid w:val="00D32B7A"/>
    <w:rsid w:val="00D33552"/>
    <w:rsid w:val="00D43D3B"/>
    <w:rsid w:val="00D46DC8"/>
    <w:rsid w:val="00D47848"/>
    <w:rsid w:val="00D50117"/>
    <w:rsid w:val="00D57554"/>
    <w:rsid w:val="00D64396"/>
    <w:rsid w:val="00D64B7D"/>
    <w:rsid w:val="00D772D8"/>
    <w:rsid w:val="00D9098C"/>
    <w:rsid w:val="00D90BF4"/>
    <w:rsid w:val="00D91283"/>
    <w:rsid w:val="00D92B7F"/>
    <w:rsid w:val="00D9534C"/>
    <w:rsid w:val="00D961B8"/>
    <w:rsid w:val="00DA30CF"/>
    <w:rsid w:val="00DA75D8"/>
    <w:rsid w:val="00DB267B"/>
    <w:rsid w:val="00DB328D"/>
    <w:rsid w:val="00DB796C"/>
    <w:rsid w:val="00DC3661"/>
    <w:rsid w:val="00DD146F"/>
    <w:rsid w:val="00DE7D08"/>
    <w:rsid w:val="00DF093D"/>
    <w:rsid w:val="00DF24F1"/>
    <w:rsid w:val="00DF51BB"/>
    <w:rsid w:val="00DF68BF"/>
    <w:rsid w:val="00DF6C2C"/>
    <w:rsid w:val="00DF7385"/>
    <w:rsid w:val="00E0091F"/>
    <w:rsid w:val="00E00CC6"/>
    <w:rsid w:val="00E0702A"/>
    <w:rsid w:val="00E12657"/>
    <w:rsid w:val="00E20644"/>
    <w:rsid w:val="00E21B2C"/>
    <w:rsid w:val="00E227DD"/>
    <w:rsid w:val="00E32707"/>
    <w:rsid w:val="00E33CCC"/>
    <w:rsid w:val="00E34EDB"/>
    <w:rsid w:val="00E375A1"/>
    <w:rsid w:val="00E450D3"/>
    <w:rsid w:val="00E451FE"/>
    <w:rsid w:val="00E51B11"/>
    <w:rsid w:val="00E545DA"/>
    <w:rsid w:val="00E55BD8"/>
    <w:rsid w:val="00E629E4"/>
    <w:rsid w:val="00E645EC"/>
    <w:rsid w:val="00E66B4A"/>
    <w:rsid w:val="00E8257B"/>
    <w:rsid w:val="00E864DF"/>
    <w:rsid w:val="00EA040B"/>
    <w:rsid w:val="00EA1BF4"/>
    <w:rsid w:val="00EA54B1"/>
    <w:rsid w:val="00EC36BD"/>
    <w:rsid w:val="00ED03AB"/>
    <w:rsid w:val="00EE6384"/>
    <w:rsid w:val="00EF0418"/>
    <w:rsid w:val="00EF22FF"/>
    <w:rsid w:val="00EF3DF8"/>
    <w:rsid w:val="00F00345"/>
    <w:rsid w:val="00F00769"/>
    <w:rsid w:val="00F00D15"/>
    <w:rsid w:val="00F019FD"/>
    <w:rsid w:val="00F03BFD"/>
    <w:rsid w:val="00F03FEF"/>
    <w:rsid w:val="00F06A2B"/>
    <w:rsid w:val="00F15285"/>
    <w:rsid w:val="00F1529A"/>
    <w:rsid w:val="00F176DD"/>
    <w:rsid w:val="00F178E7"/>
    <w:rsid w:val="00F23994"/>
    <w:rsid w:val="00F279D5"/>
    <w:rsid w:val="00F314A5"/>
    <w:rsid w:val="00F5563A"/>
    <w:rsid w:val="00F771BD"/>
    <w:rsid w:val="00F7766D"/>
    <w:rsid w:val="00F849A4"/>
    <w:rsid w:val="00F91FB0"/>
    <w:rsid w:val="00F921B6"/>
    <w:rsid w:val="00FA0224"/>
    <w:rsid w:val="00FA56BE"/>
    <w:rsid w:val="00FB2EEA"/>
    <w:rsid w:val="00FB3C1A"/>
    <w:rsid w:val="00FB4421"/>
    <w:rsid w:val="00FC1832"/>
    <w:rsid w:val="00FC51F8"/>
    <w:rsid w:val="00FD1311"/>
    <w:rsid w:val="00FD3588"/>
    <w:rsid w:val="00FD647E"/>
    <w:rsid w:val="00FE34EA"/>
    <w:rsid w:val="00FE4F48"/>
    <w:rsid w:val="00FE671A"/>
    <w:rsid w:val="00FE706D"/>
    <w:rsid w:val="00FF260C"/>
    <w:rsid w:val="00FF2DB1"/>
    <w:rsid w:val="014F29F7"/>
    <w:rsid w:val="0164410F"/>
    <w:rsid w:val="01646D56"/>
    <w:rsid w:val="01CA0211"/>
    <w:rsid w:val="01E30847"/>
    <w:rsid w:val="02CE6C8A"/>
    <w:rsid w:val="0369774C"/>
    <w:rsid w:val="039545B0"/>
    <w:rsid w:val="03C04BBB"/>
    <w:rsid w:val="04556D34"/>
    <w:rsid w:val="04862365"/>
    <w:rsid w:val="04AB0DEC"/>
    <w:rsid w:val="052106E2"/>
    <w:rsid w:val="052672E9"/>
    <w:rsid w:val="053032F3"/>
    <w:rsid w:val="05373EEA"/>
    <w:rsid w:val="0575094D"/>
    <w:rsid w:val="05CA43F3"/>
    <w:rsid w:val="05DC44A7"/>
    <w:rsid w:val="068412E2"/>
    <w:rsid w:val="07466554"/>
    <w:rsid w:val="076A027A"/>
    <w:rsid w:val="08604706"/>
    <w:rsid w:val="087F2E5B"/>
    <w:rsid w:val="08DE3518"/>
    <w:rsid w:val="08F00782"/>
    <w:rsid w:val="09263D77"/>
    <w:rsid w:val="094D0CEE"/>
    <w:rsid w:val="097D0AFB"/>
    <w:rsid w:val="09F4584C"/>
    <w:rsid w:val="09F54CC6"/>
    <w:rsid w:val="0A594FA9"/>
    <w:rsid w:val="0AD76B04"/>
    <w:rsid w:val="0B1C3A86"/>
    <w:rsid w:val="0B2757C5"/>
    <w:rsid w:val="0C1A6488"/>
    <w:rsid w:val="0C243EBE"/>
    <w:rsid w:val="0C4F4AD1"/>
    <w:rsid w:val="0CD61259"/>
    <w:rsid w:val="0D090419"/>
    <w:rsid w:val="0D90686B"/>
    <w:rsid w:val="0DD4513B"/>
    <w:rsid w:val="0F7C0824"/>
    <w:rsid w:val="0FA004B8"/>
    <w:rsid w:val="108D4EF6"/>
    <w:rsid w:val="10BA1E8C"/>
    <w:rsid w:val="11180D02"/>
    <w:rsid w:val="11260F41"/>
    <w:rsid w:val="117974BA"/>
    <w:rsid w:val="127C4792"/>
    <w:rsid w:val="12835605"/>
    <w:rsid w:val="12C127EF"/>
    <w:rsid w:val="1315738E"/>
    <w:rsid w:val="1362252C"/>
    <w:rsid w:val="13E8332B"/>
    <w:rsid w:val="140C41FB"/>
    <w:rsid w:val="14112481"/>
    <w:rsid w:val="14951AC8"/>
    <w:rsid w:val="150A6BD9"/>
    <w:rsid w:val="150A782F"/>
    <w:rsid w:val="157B0CBE"/>
    <w:rsid w:val="15BC2594"/>
    <w:rsid w:val="165327CA"/>
    <w:rsid w:val="16B50869"/>
    <w:rsid w:val="16D40AD7"/>
    <w:rsid w:val="176A0E05"/>
    <w:rsid w:val="17EB482E"/>
    <w:rsid w:val="180454CA"/>
    <w:rsid w:val="181D540E"/>
    <w:rsid w:val="18372435"/>
    <w:rsid w:val="18852D06"/>
    <w:rsid w:val="18993E48"/>
    <w:rsid w:val="191D0C52"/>
    <w:rsid w:val="195569C5"/>
    <w:rsid w:val="19645FA8"/>
    <w:rsid w:val="19BB3F59"/>
    <w:rsid w:val="1A1A4310"/>
    <w:rsid w:val="1A3C426E"/>
    <w:rsid w:val="1AB1584C"/>
    <w:rsid w:val="1ADC3C4A"/>
    <w:rsid w:val="1ADF43D1"/>
    <w:rsid w:val="1AE062D0"/>
    <w:rsid w:val="1B394AFA"/>
    <w:rsid w:val="1B491265"/>
    <w:rsid w:val="1B5857D6"/>
    <w:rsid w:val="1B8D0C3D"/>
    <w:rsid w:val="1BC46609"/>
    <w:rsid w:val="1BC867C3"/>
    <w:rsid w:val="1BE565E5"/>
    <w:rsid w:val="1CA2648C"/>
    <w:rsid w:val="1CF46146"/>
    <w:rsid w:val="1D6B5985"/>
    <w:rsid w:val="1DD71AA2"/>
    <w:rsid w:val="1E78503D"/>
    <w:rsid w:val="1E797B5B"/>
    <w:rsid w:val="1F140825"/>
    <w:rsid w:val="1F22215E"/>
    <w:rsid w:val="1FA54C00"/>
    <w:rsid w:val="202D764F"/>
    <w:rsid w:val="203A0997"/>
    <w:rsid w:val="20B65204"/>
    <w:rsid w:val="20C356F8"/>
    <w:rsid w:val="20D12A58"/>
    <w:rsid w:val="210E5A50"/>
    <w:rsid w:val="22AC10AA"/>
    <w:rsid w:val="22D26EBF"/>
    <w:rsid w:val="232A13BB"/>
    <w:rsid w:val="23407FE5"/>
    <w:rsid w:val="235C24FF"/>
    <w:rsid w:val="2371791F"/>
    <w:rsid w:val="23C5616A"/>
    <w:rsid w:val="24B23A33"/>
    <w:rsid w:val="24E570F7"/>
    <w:rsid w:val="25156AE8"/>
    <w:rsid w:val="25FD7292"/>
    <w:rsid w:val="260B23D1"/>
    <w:rsid w:val="2693071F"/>
    <w:rsid w:val="26E81F6F"/>
    <w:rsid w:val="274C1F2C"/>
    <w:rsid w:val="275F5708"/>
    <w:rsid w:val="275F62B8"/>
    <w:rsid w:val="276D08A5"/>
    <w:rsid w:val="27EF446F"/>
    <w:rsid w:val="28A35D57"/>
    <w:rsid w:val="290A6944"/>
    <w:rsid w:val="29406674"/>
    <w:rsid w:val="296166BA"/>
    <w:rsid w:val="296A2ADC"/>
    <w:rsid w:val="29E7429C"/>
    <w:rsid w:val="2A6771CA"/>
    <w:rsid w:val="2AA245C8"/>
    <w:rsid w:val="2AB25337"/>
    <w:rsid w:val="2B47789C"/>
    <w:rsid w:val="2B704BC3"/>
    <w:rsid w:val="2BAB3CB1"/>
    <w:rsid w:val="2C226947"/>
    <w:rsid w:val="2C4E0C99"/>
    <w:rsid w:val="2C5B0D73"/>
    <w:rsid w:val="2C7E17A5"/>
    <w:rsid w:val="2D9707E7"/>
    <w:rsid w:val="2D972BA1"/>
    <w:rsid w:val="2DAE7DB7"/>
    <w:rsid w:val="2DFE69BC"/>
    <w:rsid w:val="2E4A6877"/>
    <w:rsid w:val="2F3558CB"/>
    <w:rsid w:val="2F67038B"/>
    <w:rsid w:val="2FAA7825"/>
    <w:rsid w:val="307415A0"/>
    <w:rsid w:val="30B35932"/>
    <w:rsid w:val="30DC1E47"/>
    <w:rsid w:val="310E2FBD"/>
    <w:rsid w:val="3294144E"/>
    <w:rsid w:val="32AD7F75"/>
    <w:rsid w:val="33366DA1"/>
    <w:rsid w:val="33B15C5A"/>
    <w:rsid w:val="34144E8B"/>
    <w:rsid w:val="34701572"/>
    <w:rsid w:val="34AF0BFD"/>
    <w:rsid w:val="352B265B"/>
    <w:rsid w:val="353A3CB1"/>
    <w:rsid w:val="35A4262D"/>
    <w:rsid w:val="35D64750"/>
    <w:rsid w:val="362846BB"/>
    <w:rsid w:val="36531570"/>
    <w:rsid w:val="366447E3"/>
    <w:rsid w:val="376276CC"/>
    <w:rsid w:val="37704960"/>
    <w:rsid w:val="37836979"/>
    <w:rsid w:val="38A32B33"/>
    <w:rsid w:val="38DB2D8D"/>
    <w:rsid w:val="391F687E"/>
    <w:rsid w:val="39E24C6F"/>
    <w:rsid w:val="3A301CE2"/>
    <w:rsid w:val="3A3749F1"/>
    <w:rsid w:val="3AE321D5"/>
    <w:rsid w:val="3B1E544A"/>
    <w:rsid w:val="3B7838D4"/>
    <w:rsid w:val="3B897337"/>
    <w:rsid w:val="3BBC19BE"/>
    <w:rsid w:val="3BC329F7"/>
    <w:rsid w:val="3C000344"/>
    <w:rsid w:val="3C1F05EA"/>
    <w:rsid w:val="3C604D03"/>
    <w:rsid w:val="3C971850"/>
    <w:rsid w:val="3D123A7C"/>
    <w:rsid w:val="3DEE06E5"/>
    <w:rsid w:val="3DFC0D8A"/>
    <w:rsid w:val="3F2B5B5C"/>
    <w:rsid w:val="40A1135B"/>
    <w:rsid w:val="40C019F8"/>
    <w:rsid w:val="41391B54"/>
    <w:rsid w:val="413F6329"/>
    <w:rsid w:val="419C0854"/>
    <w:rsid w:val="41A55434"/>
    <w:rsid w:val="41BE084D"/>
    <w:rsid w:val="41BE348E"/>
    <w:rsid w:val="41EC596C"/>
    <w:rsid w:val="425B2845"/>
    <w:rsid w:val="42DB128F"/>
    <w:rsid w:val="43075039"/>
    <w:rsid w:val="43184690"/>
    <w:rsid w:val="432323D6"/>
    <w:rsid w:val="438F26DD"/>
    <w:rsid w:val="441724FD"/>
    <w:rsid w:val="44341C6B"/>
    <w:rsid w:val="44964345"/>
    <w:rsid w:val="451261A2"/>
    <w:rsid w:val="456B31CF"/>
    <w:rsid w:val="45FE42B0"/>
    <w:rsid w:val="460C726F"/>
    <w:rsid w:val="463C0525"/>
    <w:rsid w:val="464679BE"/>
    <w:rsid w:val="46C46C11"/>
    <w:rsid w:val="46DD133A"/>
    <w:rsid w:val="477B0B90"/>
    <w:rsid w:val="4794226C"/>
    <w:rsid w:val="47F62822"/>
    <w:rsid w:val="484052C6"/>
    <w:rsid w:val="4894671A"/>
    <w:rsid w:val="49230E0B"/>
    <w:rsid w:val="4A01374D"/>
    <w:rsid w:val="4AAB2FF5"/>
    <w:rsid w:val="4AB96B9E"/>
    <w:rsid w:val="4B3115C9"/>
    <w:rsid w:val="4BA70A16"/>
    <w:rsid w:val="4BBC6464"/>
    <w:rsid w:val="4CA57AEE"/>
    <w:rsid w:val="4CBC30A3"/>
    <w:rsid w:val="4EAE7E8C"/>
    <w:rsid w:val="4EB07A10"/>
    <w:rsid w:val="4EC8544E"/>
    <w:rsid w:val="4F53179E"/>
    <w:rsid w:val="4FA13AC7"/>
    <w:rsid w:val="4FC4668F"/>
    <w:rsid w:val="4FC82FA1"/>
    <w:rsid w:val="50AF4CDE"/>
    <w:rsid w:val="51705D3A"/>
    <w:rsid w:val="51786023"/>
    <w:rsid w:val="51C364F1"/>
    <w:rsid w:val="521D2C5B"/>
    <w:rsid w:val="52373633"/>
    <w:rsid w:val="52573C77"/>
    <w:rsid w:val="52901D76"/>
    <w:rsid w:val="5298296C"/>
    <w:rsid w:val="52C964C2"/>
    <w:rsid w:val="52E24971"/>
    <w:rsid w:val="52EF4382"/>
    <w:rsid w:val="531136B6"/>
    <w:rsid w:val="53755DD1"/>
    <w:rsid w:val="541826EA"/>
    <w:rsid w:val="54233C72"/>
    <w:rsid w:val="54522D1B"/>
    <w:rsid w:val="54841F16"/>
    <w:rsid w:val="54954434"/>
    <w:rsid w:val="54E617A9"/>
    <w:rsid w:val="558E79BD"/>
    <w:rsid w:val="55DE705D"/>
    <w:rsid w:val="56B94779"/>
    <w:rsid w:val="57196EB6"/>
    <w:rsid w:val="573319F0"/>
    <w:rsid w:val="5814375B"/>
    <w:rsid w:val="58165600"/>
    <w:rsid w:val="5864535A"/>
    <w:rsid w:val="58CB3F30"/>
    <w:rsid w:val="591B17F0"/>
    <w:rsid w:val="59232D28"/>
    <w:rsid w:val="5951075E"/>
    <w:rsid w:val="5A1A73C3"/>
    <w:rsid w:val="5A395DCF"/>
    <w:rsid w:val="5A454D81"/>
    <w:rsid w:val="5AB72F64"/>
    <w:rsid w:val="5AF56E30"/>
    <w:rsid w:val="5BDC0822"/>
    <w:rsid w:val="5BF708EB"/>
    <w:rsid w:val="5C165F63"/>
    <w:rsid w:val="5C2C4DEE"/>
    <w:rsid w:val="5D582D48"/>
    <w:rsid w:val="5D63550A"/>
    <w:rsid w:val="5E254BED"/>
    <w:rsid w:val="5EFE4876"/>
    <w:rsid w:val="5F9C1A00"/>
    <w:rsid w:val="603036CF"/>
    <w:rsid w:val="60E0446A"/>
    <w:rsid w:val="60FF0935"/>
    <w:rsid w:val="614F4555"/>
    <w:rsid w:val="615B6A4C"/>
    <w:rsid w:val="61624AC0"/>
    <w:rsid w:val="617B746F"/>
    <w:rsid w:val="61822305"/>
    <w:rsid w:val="62570E03"/>
    <w:rsid w:val="62CD2C68"/>
    <w:rsid w:val="63F105D5"/>
    <w:rsid w:val="64DD658B"/>
    <w:rsid w:val="64E902CB"/>
    <w:rsid w:val="65004927"/>
    <w:rsid w:val="65090C83"/>
    <w:rsid w:val="65B8574F"/>
    <w:rsid w:val="669508F0"/>
    <w:rsid w:val="66966D5A"/>
    <w:rsid w:val="66E028EE"/>
    <w:rsid w:val="66F65176"/>
    <w:rsid w:val="67255208"/>
    <w:rsid w:val="67CA4E77"/>
    <w:rsid w:val="68473D9E"/>
    <w:rsid w:val="68C00496"/>
    <w:rsid w:val="68F9791F"/>
    <w:rsid w:val="6955293F"/>
    <w:rsid w:val="69772BE5"/>
    <w:rsid w:val="69B84C22"/>
    <w:rsid w:val="69C64FC7"/>
    <w:rsid w:val="6A1175C6"/>
    <w:rsid w:val="6A80297C"/>
    <w:rsid w:val="6ABC6997"/>
    <w:rsid w:val="6B041DE6"/>
    <w:rsid w:val="6B3663D9"/>
    <w:rsid w:val="6B5A17A3"/>
    <w:rsid w:val="6B7D3E9B"/>
    <w:rsid w:val="6C9A1CC2"/>
    <w:rsid w:val="6CB72200"/>
    <w:rsid w:val="6CDC4012"/>
    <w:rsid w:val="6CE77486"/>
    <w:rsid w:val="6CF87A57"/>
    <w:rsid w:val="6D0142B5"/>
    <w:rsid w:val="6D1C483D"/>
    <w:rsid w:val="6DD507BB"/>
    <w:rsid w:val="6E2F7C32"/>
    <w:rsid w:val="6E772676"/>
    <w:rsid w:val="6ECE7B3E"/>
    <w:rsid w:val="6F366989"/>
    <w:rsid w:val="70213955"/>
    <w:rsid w:val="70BB5E0D"/>
    <w:rsid w:val="70CF1CE2"/>
    <w:rsid w:val="70F257B0"/>
    <w:rsid w:val="711363D5"/>
    <w:rsid w:val="715C18AB"/>
    <w:rsid w:val="71A75975"/>
    <w:rsid w:val="71F60EA5"/>
    <w:rsid w:val="736F5D71"/>
    <w:rsid w:val="73D249B4"/>
    <w:rsid w:val="74C418E5"/>
    <w:rsid w:val="758511AA"/>
    <w:rsid w:val="75E43FFD"/>
    <w:rsid w:val="76CA11F5"/>
    <w:rsid w:val="76F964CC"/>
    <w:rsid w:val="77221C2C"/>
    <w:rsid w:val="776F24C5"/>
    <w:rsid w:val="779F50A3"/>
    <w:rsid w:val="789358AC"/>
    <w:rsid w:val="78E90492"/>
    <w:rsid w:val="791A078D"/>
    <w:rsid w:val="794A758E"/>
    <w:rsid w:val="79665EC3"/>
    <w:rsid w:val="79A95E9C"/>
    <w:rsid w:val="7A2F4315"/>
    <w:rsid w:val="7B626619"/>
    <w:rsid w:val="7BC32E24"/>
    <w:rsid w:val="7BF82316"/>
    <w:rsid w:val="7CC24D20"/>
    <w:rsid w:val="7CDB5D15"/>
    <w:rsid w:val="7D1E3043"/>
    <w:rsid w:val="7DF86612"/>
    <w:rsid w:val="7E464D75"/>
    <w:rsid w:val="7EB44673"/>
    <w:rsid w:val="7EC35195"/>
    <w:rsid w:val="7EEF72D6"/>
    <w:rsid w:val="7F571952"/>
    <w:rsid w:val="7F5A3B2A"/>
    <w:rsid w:val="7F651695"/>
    <w:rsid w:val="7F6607AA"/>
    <w:rsid w:val="7F6D4808"/>
    <w:rsid w:val="7F6E67A2"/>
    <w:rsid w:val="7F823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0" w:semiHidden="0" w:name="table of authorities"/>
    <w:lsdException w:uiPriority="99" w:name="macro"/>
    <w:lsdException w:qFormat="1" w:unhideWhenUsed="0"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paragraph" w:styleId="2">
    <w:name w:val="heading 1"/>
    <w:basedOn w:val="3"/>
    <w:next w:val="4"/>
    <w:link w:val="33"/>
    <w:qFormat/>
    <w:uiPriority w:val="0"/>
    <w:pPr>
      <w:keepNext/>
      <w:keepLines/>
      <w:spacing w:before="340" w:after="330" w:line="576" w:lineRule="auto"/>
      <w:jc w:val="center"/>
      <w:outlineLvl w:val="0"/>
    </w:pPr>
    <w:rPr>
      <w:rFonts w:ascii="Calibri" w:hAnsi="Calibri" w:eastAsia="黑体"/>
      <w:b/>
      <w:kern w:val="44"/>
      <w:sz w:val="44"/>
    </w:rPr>
  </w:style>
  <w:style w:type="paragraph" w:styleId="5">
    <w:name w:val="heading 2"/>
    <w:basedOn w:val="4"/>
    <w:next w:val="1"/>
    <w:link w:val="34"/>
    <w:qFormat/>
    <w:uiPriority w:val="0"/>
    <w:pPr>
      <w:keepNext/>
      <w:keepLines/>
      <w:spacing w:before="260" w:after="260" w:line="500" w:lineRule="exact"/>
      <w:jc w:val="center"/>
      <w:textAlignment w:val="center"/>
      <w:outlineLvl w:val="1"/>
    </w:pPr>
    <w:rPr>
      <w:rFonts w:ascii="Cambria" w:hAnsi="Cambria" w:eastAsia="黑体"/>
      <w:sz w:val="44"/>
    </w:rPr>
  </w:style>
  <w:style w:type="paragraph" w:styleId="6">
    <w:name w:val="heading 3"/>
    <w:basedOn w:val="1"/>
    <w:next w:val="1"/>
    <w:link w:val="35"/>
    <w:qFormat/>
    <w:uiPriority w:val="0"/>
    <w:pPr>
      <w:keepNext/>
      <w:keepLines/>
      <w:widowControl w:val="0"/>
      <w:spacing w:before="260" w:after="260" w:line="413" w:lineRule="auto"/>
      <w:jc w:val="both"/>
      <w:outlineLvl w:val="2"/>
    </w:pPr>
    <w:rPr>
      <w:rFonts w:ascii="Calibri" w:hAnsi="Calibri" w:eastAsia="宋体"/>
      <w:b/>
      <w:kern w:val="2"/>
      <w:sz w:val="32"/>
      <w:szCs w:val="20"/>
    </w:rPr>
  </w:style>
  <w:style w:type="character" w:default="1" w:styleId="27">
    <w:name w:val="Default Paragraph Font"/>
    <w:unhideWhenUsed/>
    <w:uiPriority w:val="1"/>
  </w:style>
  <w:style w:type="table" w:default="1" w:styleId="31">
    <w:name w:val="Normal Table"/>
    <w:unhideWhenUsed/>
    <w:uiPriority w:val="99"/>
    <w:tblPr>
      <w:tblLayout w:type="fixed"/>
      <w:tblCellMar>
        <w:top w:w="0" w:type="dxa"/>
        <w:left w:w="108" w:type="dxa"/>
        <w:bottom w:w="0" w:type="dxa"/>
        <w:right w:w="108" w:type="dxa"/>
      </w:tblCellMar>
    </w:tblPr>
  </w:style>
  <w:style w:type="paragraph" w:styleId="3">
    <w:name w:val="table of authorities"/>
    <w:basedOn w:val="1"/>
    <w:next w:val="1"/>
    <w:qFormat/>
    <w:uiPriority w:val="0"/>
    <w:pPr>
      <w:widowControl w:val="0"/>
      <w:ind w:left="420" w:leftChars="200"/>
      <w:jc w:val="both"/>
    </w:pPr>
    <w:rPr>
      <w:rFonts w:eastAsia="宋体"/>
      <w:sz w:val="20"/>
      <w:szCs w:val="20"/>
    </w:rPr>
  </w:style>
  <w:style w:type="paragraph" w:styleId="4">
    <w:name w:val="toa heading"/>
    <w:basedOn w:val="1"/>
    <w:next w:val="1"/>
    <w:qFormat/>
    <w:uiPriority w:val="99"/>
    <w:pPr>
      <w:widowControl w:val="0"/>
      <w:spacing w:before="120"/>
      <w:jc w:val="both"/>
    </w:pPr>
    <w:rPr>
      <w:rFonts w:ascii="Arial" w:hAnsi="Arial" w:eastAsia="宋体"/>
      <w:szCs w:val="20"/>
    </w:rPr>
  </w:style>
  <w:style w:type="paragraph" w:styleId="7">
    <w:name w:val="annotation subject"/>
    <w:basedOn w:val="8"/>
    <w:next w:val="8"/>
    <w:link w:val="45"/>
    <w:unhideWhenUsed/>
    <w:qFormat/>
    <w:uiPriority w:val="99"/>
    <w:rPr>
      <w:rFonts w:ascii="黑体" w:hAnsi="黑体" w:eastAsia="黑体"/>
      <w:b/>
      <w:bCs/>
      <w:sz w:val="30"/>
    </w:rPr>
  </w:style>
  <w:style w:type="paragraph" w:styleId="8">
    <w:name w:val="annotation text"/>
    <w:basedOn w:val="1"/>
    <w:link w:val="43"/>
    <w:qFormat/>
    <w:uiPriority w:val="99"/>
    <w:pPr>
      <w:widowControl w:val="0"/>
    </w:pPr>
    <w:rPr>
      <w:rFonts w:ascii="Calibri" w:hAnsi="Calibri" w:cstheme="minorBidi"/>
      <w:kern w:val="2"/>
      <w:sz w:val="32"/>
    </w:rPr>
  </w:style>
  <w:style w:type="paragraph" w:styleId="9">
    <w:name w:val="toc 7"/>
    <w:basedOn w:val="1"/>
    <w:next w:val="1"/>
    <w:qFormat/>
    <w:uiPriority w:val="0"/>
    <w:pPr>
      <w:widowControl w:val="0"/>
      <w:ind w:left="2520" w:leftChars="1200"/>
      <w:jc w:val="both"/>
    </w:pPr>
    <w:rPr>
      <w:rFonts w:eastAsia="宋体"/>
      <w:sz w:val="20"/>
      <w:szCs w:val="20"/>
    </w:rPr>
  </w:style>
  <w:style w:type="paragraph" w:styleId="10">
    <w:name w:val="Document Map"/>
    <w:basedOn w:val="1"/>
    <w:link w:val="46"/>
    <w:qFormat/>
    <w:uiPriority w:val="0"/>
    <w:pPr>
      <w:widowControl w:val="0"/>
      <w:shd w:val="clear" w:color="auto" w:fill="000080"/>
      <w:jc w:val="both"/>
    </w:pPr>
    <w:rPr>
      <w:rFonts w:ascii="Calibri" w:hAnsi="Calibri" w:cstheme="minorBidi"/>
      <w:kern w:val="2"/>
      <w:sz w:val="32"/>
      <w:shd w:val="clear" w:color="auto" w:fill="000080"/>
    </w:rPr>
  </w:style>
  <w:style w:type="paragraph" w:styleId="11">
    <w:name w:val="Body Text"/>
    <w:basedOn w:val="1"/>
    <w:link w:val="38"/>
    <w:qFormat/>
    <w:uiPriority w:val="0"/>
    <w:pPr>
      <w:widowControl w:val="0"/>
      <w:spacing w:after="120" w:line="500" w:lineRule="exact"/>
      <w:jc w:val="center"/>
    </w:pPr>
    <w:rPr>
      <w:rFonts w:ascii="Calibri" w:hAnsi="Calibri" w:eastAsia="黑体" w:cstheme="minorBidi"/>
      <w:kern w:val="2"/>
      <w:sz w:val="30"/>
    </w:rPr>
  </w:style>
  <w:style w:type="paragraph" w:styleId="12">
    <w:name w:val="Body Text Indent"/>
    <w:basedOn w:val="1"/>
    <w:link w:val="39"/>
    <w:qFormat/>
    <w:uiPriority w:val="0"/>
    <w:pPr>
      <w:widowControl w:val="0"/>
      <w:tabs>
        <w:tab w:val="center" w:pos="748"/>
      </w:tabs>
      <w:spacing w:before="100" w:beforeAutospacing="1" w:after="100" w:afterAutospacing="1" w:line="400" w:lineRule="exact"/>
      <w:ind w:firstLine="439" w:firstLineChars="200"/>
      <w:jc w:val="both"/>
    </w:pPr>
    <w:rPr>
      <w:rFonts w:ascii="宋体" w:hAnsi="宋体" w:cstheme="minorBidi"/>
      <w:kern w:val="2"/>
    </w:rPr>
  </w:style>
  <w:style w:type="paragraph" w:styleId="13">
    <w:name w:val="toc 5"/>
    <w:basedOn w:val="1"/>
    <w:next w:val="1"/>
    <w:qFormat/>
    <w:uiPriority w:val="0"/>
    <w:pPr>
      <w:widowControl w:val="0"/>
      <w:ind w:left="1680" w:leftChars="800"/>
      <w:jc w:val="both"/>
    </w:pPr>
    <w:rPr>
      <w:rFonts w:eastAsia="宋体"/>
      <w:sz w:val="20"/>
      <w:szCs w:val="20"/>
    </w:rPr>
  </w:style>
  <w:style w:type="paragraph" w:styleId="14">
    <w:name w:val="toc 3"/>
    <w:basedOn w:val="1"/>
    <w:next w:val="1"/>
    <w:qFormat/>
    <w:uiPriority w:val="0"/>
    <w:pPr>
      <w:widowControl w:val="0"/>
      <w:ind w:left="840" w:leftChars="400"/>
      <w:jc w:val="both"/>
    </w:pPr>
    <w:rPr>
      <w:rFonts w:eastAsia="宋体"/>
      <w:sz w:val="20"/>
      <w:szCs w:val="20"/>
    </w:rPr>
  </w:style>
  <w:style w:type="paragraph" w:styleId="15">
    <w:name w:val="toc 8"/>
    <w:basedOn w:val="1"/>
    <w:next w:val="1"/>
    <w:qFormat/>
    <w:uiPriority w:val="0"/>
    <w:pPr>
      <w:widowControl w:val="0"/>
      <w:ind w:left="2940" w:leftChars="1400"/>
      <w:jc w:val="both"/>
    </w:pPr>
    <w:rPr>
      <w:rFonts w:eastAsia="宋体"/>
      <w:sz w:val="20"/>
      <w:szCs w:val="20"/>
    </w:rPr>
  </w:style>
  <w:style w:type="paragraph" w:styleId="16">
    <w:name w:val="Body Text Indent 2"/>
    <w:basedOn w:val="1"/>
    <w:link w:val="36"/>
    <w:qFormat/>
    <w:uiPriority w:val="0"/>
    <w:pPr>
      <w:widowControl w:val="0"/>
      <w:ind w:firstLine="480" w:firstLineChars="200"/>
      <w:jc w:val="both"/>
    </w:pPr>
    <w:rPr>
      <w:rFonts w:ascii="Calibri" w:hAnsi="Calibri" w:cstheme="minorBidi"/>
      <w:kern w:val="2"/>
    </w:rPr>
  </w:style>
  <w:style w:type="paragraph" w:styleId="17">
    <w:name w:val="Balloon Text"/>
    <w:basedOn w:val="1"/>
    <w:link w:val="41"/>
    <w:qFormat/>
    <w:uiPriority w:val="99"/>
    <w:pPr>
      <w:widowControl w:val="0"/>
      <w:jc w:val="both"/>
    </w:pPr>
    <w:rPr>
      <w:rFonts w:ascii="Calibri" w:hAnsi="Calibri" w:cstheme="minorBidi"/>
      <w:kern w:val="2"/>
      <w:sz w:val="18"/>
    </w:rPr>
  </w:style>
  <w:style w:type="paragraph" w:styleId="18">
    <w:name w:val="footer"/>
    <w:basedOn w:val="1"/>
    <w:link w:val="42"/>
    <w:qFormat/>
    <w:uiPriority w:val="0"/>
    <w:pPr>
      <w:widowControl w:val="0"/>
      <w:tabs>
        <w:tab w:val="center" w:pos="4153"/>
        <w:tab w:val="right" w:pos="8306"/>
      </w:tabs>
      <w:snapToGrid w:val="0"/>
    </w:pPr>
    <w:rPr>
      <w:rFonts w:ascii="Calibri" w:hAnsi="Calibri" w:cstheme="minorBidi"/>
      <w:kern w:val="2"/>
      <w:sz w:val="18"/>
    </w:rPr>
  </w:style>
  <w:style w:type="paragraph" w:styleId="19">
    <w:name w:val="header"/>
    <w:basedOn w:val="1"/>
    <w:link w:val="37"/>
    <w:qFormat/>
    <w:uiPriority w:val="0"/>
    <w:pPr>
      <w:widowControl w:val="0"/>
      <w:pBdr>
        <w:top w:val="none" w:color="auto" w:sz="0" w:space="1"/>
        <w:left w:val="none" w:color="auto" w:sz="0" w:space="4"/>
        <w:bottom w:val="none" w:color="auto" w:sz="0" w:space="1"/>
        <w:right w:val="none" w:color="auto" w:sz="0" w:space="4"/>
      </w:pBdr>
      <w:tabs>
        <w:tab w:val="center" w:pos="4153"/>
        <w:tab w:val="right" w:pos="8306"/>
      </w:tabs>
      <w:snapToGrid w:val="0"/>
      <w:jc w:val="both"/>
    </w:pPr>
    <w:rPr>
      <w:rFonts w:asciiTheme="minorHAnsi" w:hAnsiTheme="minorHAnsi" w:cstheme="minorBidi"/>
      <w:color w:val="000000"/>
      <w:kern w:val="2"/>
      <w:sz w:val="21"/>
    </w:rPr>
  </w:style>
  <w:style w:type="paragraph" w:styleId="20">
    <w:name w:val="toc 1"/>
    <w:basedOn w:val="1"/>
    <w:next w:val="1"/>
    <w:qFormat/>
    <w:uiPriority w:val="39"/>
    <w:pPr>
      <w:widowControl w:val="0"/>
      <w:jc w:val="both"/>
    </w:pPr>
    <w:rPr>
      <w:rFonts w:eastAsia="宋体"/>
      <w:sz w:val="20"/>
      <w:szCs w:val="20"/>
    </w:rPr>
  </w:style>
  <w:style w:type="paragraph" w:styleId="21">
    <w:name w:val="toc 4"/>
    <w:basedOn w:val="1"/>
    <w:next w:val="1"/>
    <w:qFormat/>
    <w:uiPriority w:val="0"/>
    <w:pPr>
      <w:widowControl w:val="0"/>
      <w:ind w:left="1260" w:leftChars="600"/>
      <w:jc w:val="both"/>
    </w:pPr>
    <w:rPr>
      <w:rFonts w:eastAsia="宋体"/>
      <w:sz w:val="20"/>
      <w:szCs w:val="20"/>
    </w:rPr>
  </w:style>
  <w:style w:type="paragraph" w:styleId="22">
    <w:name w:val="toc 6"/>
    <w:basedOn w:val="1"/>
    <w:next w:val="1"/>
    <w:qFormat/>
    <w:uiPriority w:val="0"/>
    <w:pPr>
      <w:widowControl w:val="0"/>
      <w:ind w:left="2100" w:leftChars="1000"/>
      <w:jc w:val="both"/>
    </w:pPr>
    <w:rPr>
      <w:rFonts w:eastAsia="宋体"/>
      <w:sz w:val="20"/>
      <w:szCs w:val="20"/>
    </w:rPr>
  </w:style>
  <w:style w:type="paragraph" w:styleId="23">
    <w:name w:val="toc 2"/>
    <w:basedOn w:val="1"/>
    <w:next w:val="1"/>
    <w:qFormat/>
    <w:uiPriority w:val="39"/>
    <w:pPr>
      <w:widowControl w:val="0"/>
      <w:ind w:left="420" w:leftChars="200"/>
      <w:jc w:val="both"/>
    </w:pPr>
    <w:rPr>
      <w:rFonts w:eastAsia="宋体"/>
      <w:sz w:val="20"/>
      <w:szCs w:val="20"/>
    </w:rPr>
  </w:style>
  <w:style w:type="paragraph" w:styleId="24">
    <w:name w:val="toc 9"/>
    <w:basedOn w:val="1"/>
    <w:next w:val="1"/>
    <w:qFormat/>
    <w:uiPriority w:val="0"/>
    <w:pPr>
      <w:widowControl w:val="0"/>
      <w:ind w:left="3360" w:leftChars="1600"/>
      <w:jc w:val="both"/>
    </w:pPr>
    <w:rPr>
      <w:rFonts w:eastAsia="宋体"/>
      <w:sz w:val="20"/>
      <w:szCs w:val="20"/>
    </w:rPr>
  </w:style>
  <w:style w:type="paragraph" w:styleId="25">
    <w:name w:val="Normal (Web)"/>
    <w:basedOn w:val="1"/>
    <w:qFormat/>
    <w:uiPriority w:val="99"/>
    <w:pPr>
      <w:spacing w:before="100" w:beforeAutospacing="1" w:after="100" w:afterAutospacing="1"/>
    </w:pPr>
    <w:rPr>
      <w:rFonts w:ascii="宋体" w:hAnsi="宋体" w:eastAsia="宋体"/>
      <w:szCs w:val="20"/>
    </w:rPr>
  </w:style>
  <w:style w:type="paragraph" w:styleId="26">
    <w:name w:val="Title"/>
    <w:basedOn w:val="1"/>
    <w:next w:val="1"/>
    <w:link w:val="44"/>
    <w:qFormat/>
    <w:uiPriority w:val="0"/>
    <w:pPr>
      <w:widowControl w:val="0"/>
      <w:spacing w:before="240" w:after="60"/>
      <w:jc w:val="center"/>
      <w:outlineLvl w:val="0"/>
    </w:pPr>
    <w:rPr>
      <w:rFonts w:ascii="Calibri Light" w:hAnsi="Calibri Light" w:cstheme="minorBidi"/>
      <w:b/>
      <w:kern w:val="2"/>
      <w:sz w:val="32"/>
    </w:rPr>
  </w:style>
  <w:style w:type="character" w:styleId="28">
    <w:name w:val="page number"/>
    <w:basedOn w:val="27"/>
    <w:qFormat/>
    <w:uiPriority w:val="0"/>
  </w:style>
  <w:style w:type="character" w:styleId="29">
    <w:name w:val="Hyperlink"/>
    <w:qFormat/>
    <w:uiPriority w:val="99"/>
    <w:rPr>
      <w:color w:val="0000FF"/>
      <w:u w:val="single"/>
    </w:rPr>
  </w:style>
  <w:style w:type="character" w:styleId="30">
    <w:name w:val="annotation reference"/>
    <w:unhideWhenUsed/>
    <w:qFormat/>
    <w:uiPriority w:val="99"/>
    <w:rPr>
      <w:sz w:val="21"/>
      <w:szCs w:val="21"/>
    </w:rPr>
  </w:style>
  <w:style w:type="table" w:styleId="32">
    <w:name w:val="Table Grid"/>
    <w:basedOn w:val="31"/>
    <w:qFormat/>
    <w:uiPriority w:val="39"/>
    <w:rPr>
      <w:rFonts w:ascii="黑体" w:hAnsi="黑体" w:eastAsia="黑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3">
    <w:name w:val="标题 1 字符"/>
    <w:basedOn w:val="27"/>
    <w:link w:val="2"/>
    <w:qFormat/>
    <w:uiPriority w:val="0"/>
    <w:rPr>
      <w:rFonts w:ascii="Calibri" w:hAnsi="Calibri" w:eastAsia="黑体" w:cs="Times New Roman"/>
      <w:b/>
      <w:kern w:val="44"/>
      <w:sz w:val="44"/>
      <w:szCs w:val="20"/>
    </w:rPr>
  </w:style>
  <w:style w:type="character" w:customStyle="1" w:styleId="34">
    <w:name w:val="标题 2 字符"/>
    <w:basedOn w:val="27"/>
    <w:link w:val="5"/>
    <w:qFormat/>
    <w:uiPriority w:val="0"/>
    <w:rPr>
      <w:rFonts w:ascii="Cambria" w:hAnsi="Cambria" w:eastAsia="黑体" w:cs="Times New Roman"/>
      <w:kern w:val="0"/>
      <w:sz w:val="44"/>
      <w:szCs w:val="20"/>
    </w:rPr>
  </w:style>
  <w:style w:type="character" w:customStyle="1" w:styleId="35">
    <w:name w:val="标题 3 字符"/>
    <w:basedOn w:val="27"/>
    <w:link w:val="6"/>
    <w:qFormat/>
    <w:uiPriority w:val="0"/>
    <w:rPr>
      <w:rFonts w:ascii="Calibri" w:hAnsi="Calibri" w:eastAsia="宋体" w:cs="Times New Roman"/>
      <w:b/>
      <w:sz w:val="32"/>
      <w:szCs w:val="20"/>
    </w:rPr>
  </w:style>
  <w:style w:type="character" w:customStyle="1" w:styleId="36">
    <w:name w:val="正文文本缩进 2 字符"/>
    <w:link w:val="16"/>
    <w:qFormat/>
    <w:uiPriority w:val="0"/>
    <w:rPr>
      <w:rFonts w:ascii="Calibri" w:hAnsi="Calibri"/>
    </w:rPr>
  </w:style>
  <w:style w:type="character" w:customStyle="1" w:styleId="37">
    <w:name w:val="页眉 字符"/>
    <w:link w:val="19"/>
    <w:qFormat/>
    <w:uiPriority w:val="0"/>
    <w:rPr>
      <w:color w:val="000000"/>
      <w:sz w:val="21"/>
    </w:rPr>
  </w:style>
  <w:style w:type="character" w:customStyle="1" w:styleId="38">
    <w:name w:val="正文文本 字符"/>
    <w:link w:val="11"/>
    <w:qFormat/>
    <w:uiPriority w:val="0"/>
    <w:rPr>
      <w:rFonts w:ascii="Calibri" w:hAnsi="Calibri" w:eastAsia="黑体"/>
      <w:sz w:val="30"/>
    </w:rPr>
  </w:style>
  <w:style w:type="character" w:customStyle="1" w:styleId="39">
    <w:name w:val="正文文本缩进 字符"/>
    <w:link w:val="12"/>
    <w:qFormat/>
    <w:uiPriority w:val="0"/>
    <w:rPr>
      <w:rFonts w:ascii="宋体" w:hAnsi="宋体"/>
    </w:rPr>
  </w:style>
  <w:style w:type="character" w:customStyle="1" w:styleId="40">
    <w:name w:val="apple-style-span"/>
    <w:basedOn w:val="27"/>
    <w:qFormat/>
    <w:uiPriority w:val="0"/>
  </w:style>
  <w:style w:type="character" w:customStyle="1" w:styleId="41">
    <w:name w:val="批注框文本 字符"/>
    <w:link w:val="17"/>
    <w:qFormat/>
    <w:uiPriority w:val="99"/>
    <w:rPr>
      <w:rFonts w:ascii="Calibri" w:hAnsi="Calibri"/>
      <w:sz w:val="18"/>
    </w:rPr>
  </w:style>
  <w:style w:type="character" w:customStyle="1" w:styleId="42">
    <w:name w:val="页脚 字符"/>
    <w:link w:val="18"/>
    <w:qFormat/>
    <w:uiPriority w:val="0"/>
    <w:rPr>
      <w:rFonts w:ascii="Calibri" w:hAnsi="Calibri"/>
      <w:sz w:val="18"/>
    </w:rPr>
  </w:style>
  <w:style w:type="character" w:customStyle="1" w:styleId="43">
    <w:name w:val="批注文字 字符"/>
    <w:link w:val="8"/>
    <w:qFormat/>
    <w:uiPriority w:val="99"/>
    <w:rPr>
      <w:rFonts w:ascii="Calibri" w:hAnsi="Calibri"/>
      <w:sz w:val="32"/>
    </w:rPr>
  </w:style>
  <w:style w:type="character" w:customStyle="1" w:styleId="44">
    <w:name w:val="标题 字符"/>
    <w:link w:val="26"/>
    <w:qFormat/>
    <w:uiPriority w:val="0"/>
    <w:rPr>
      <w:rFonts w:ascii="Calibri Light" w:hAnsi="Calibri Light"/>
      <w:b/>
      <w:sz w:val="32"/>
    </w:rPr>
  </w:style>
  <w:style w:type="character" w:customStyle="1" w:styleId="45">
    <w:name w:val="批注主题 字符"/>
    <w:link w:val="7"/>
    <w:qFormat/>
    <w:uiPriority w:val="99"/>
    <w:rPr>
      <w:rFonts w:ascii="黑体" w:hAnsi="黑体" w:eastAsia="黑体"/>
      <w:b/>
      <w:bCs/>
      <w:sz w:val="30"/>
    </w:rPr>
  </w:style>
  <w:style w:type="character" w:customStyle="1" w:styleId="46">
    <w:name w:val="文档结构图 字符"/>
    <w:link w:val="10"/>
    <w:qFormat/>
    <w:uiPriority w:val="0"/>
    <w:rPr>
      <w:rFonts w:ascii="Calibri" w:hAnsi="Calibri"/>
      <w:sz w:val="32"/>
      <w:shd w:val="clear" w:color="auto" w:fill="000080"/>
    </w:rPr>
  </w:style>
  <w:style w:type="character" w:customStyle="1" w:styleId="47">
    <w:name w:val="批注文字字符1"/>
    <w:basedOn w:val="27"/>
    <w:semiHidden/>
    <w:qFormat/>
    <w:uiPriority w:val="99"/>
    <w:rPr>
      <w:rFonts w:ascii="Times New Roman" w:hAnsi="Times New Roman" w:eastAsia="宋体" w:cs="Times New Roman"/>
      <w:kern w:val="0"/>
      <w:sz w:val="20"/>
      <w:szCs w:val="20"/>
    </w:rPr>
  </w:style>
  <w:style w:type="character" w:customStyle="1" w:styleId="48">
    <w:name w:val="批注主题字符1"/>
    <w:basedOn w:val="47"/>
    <w:semiHidden/>
    <w:qFormat/>
    <w:uiPriority w:val="99"/>
    <w:rPr>
      <w:rFonts w:ascii="Times New Roman" w:hAnsi="Times New Roman" w:eastAsia="宋体" w:cs="Times New Roman"/>
      <w:b/>
      <w:bCs/>
      <w:kern w:val="0"/>
      <w:sz w:val="20"/>
      <w:szCs w:val="20"/>
    </w:rPr>
  </w:style>
  <w:style w:type="character" w:customStyle="1" w:styleId="49">
    <w:name w:val="正文文本字符1"/>
    <w:basedOn w:val="27"/>
    <w:semiHidden/>
    <w:qFormat/>
    <w:uiPriority w:val="99"/>
    <w:rPr>
      <w:rFonts w:ascii="Times New Roman" w:hAnsi="Times New Roman" w:eastAsia="宋体" w:cs="Times New Roman"/>
      <w:kern w:val="0"/>
      <w:sz w:val="20"/>
      <w:szCs w:val="20"/>
    </w:rPr>
  </w:style>
  <w:style w:type="character" w:customStyle="1" w:styleId="50">
    <w:name w:val="文档结构图字符1"/>
    <w:basedOn w:val="27"/>
    <w:semiHidden/>
    <w:qFormat/>
    <w:uiPriority w:val="99"/>
    <w:rPr>
      <w:rFonts w:ascii="宋体" w:hAnsi="Times New Roman" w:eastAsia="宋体" w:cs="Times New Roman"/>
      <w:kern w:val="0"/>
    </w:rPr>
  </w:style>
  <w:style w:type="paragraph" w:customStyle="1" w:styleId="51">
    <w:name w:val="三级标题"/>
    <w:basedOn w:val="1"/>
    <w:next w:val="11"/>
    <w:qFormat/>
    <w:uiPriority w:val="0"/>
    <w:pPr>
      <w:widowControl w:val="0"/>
      <w:spacing w:line="500" w:lineRule="exact"/>
      <w:jc w:val="center"/>
    </w:pPr>
    <w:rPr>
      <w:rFonts w:eastAsia="黑体"/>
      <w:sz w:val="30"/>
      <w:szCs w:val="20"/>
    </w:rPr>
  </w:style>
  <w:style w:type="character" w:customStyle="1" w:styleId="52">
    <w:name w:val="正文文本缩进字符1"/>
    <w:basedOn w:val="27"/>
    <w:semiHidden/>
    <w:qFormat/>
    <w:uiPriority w:val="99"/>
    <w:rPr>
      <w:rFonts w:ascii="Times New Roman" w:hAnsi="Times New Roman" w:eastAsia="宋体" w:cs="Times New Roman"/>
      <w:kern w:val="0"/>
      <w:sz w:val="20"/>
      <w:szCs w:val="20"/>
    </w:rPr>
  </w:style>
  <w:style w:type="character" w:customStyle="1" w:styleId="53">
    <w:name w:val="正文文本缩进 2字符1"/>
    <w:basedOn w:val="27"/>
    <w:semiHidden/>
    <w:qFormat/>
    <w:uiPriority w:val="99"/>
    <w:rPr>
      <w:rFonts w:ascii="Times New Roman" w:hAnsi="Times New Roman" w:eastAsia="宋体" w:cs="Times New Roman"/>
      <w:kern w:val="0"/>
      <w:sz w:val="20"/>
      <w:szCs w:val="20"/>
    </w:rPr>
  </w:style>
  <w:style w:type="character" w:customStyle="1" w:styleId="54">
    <w:name w:val="批注框文本字符1"/>
    <w:basedOn w:val="27"/>
    <w:semiHidden/>
    <w:qFormat/>
    <w:uiPriority w:val="99"/>
    <w:rPr>
      <w:rFonts w:ascii="宋体" w:hAnsi="Times New Roman" w:eastAsia="宋体" w:cs="Times New Roman"/>
      <w:kern w:val="0"/>
      <w:sz w:val="18"/>
      <w:szCs w:val="18"/>
    </w:rPr>
  </w:style>
  <w:style w:type="character" w:customStyle="1" w:styleId="55">
    <w:name w:val="页脚字符1"/>
    <w:basedOn w:val="27"/>
    <w:semiHidden/>
    <w:qFormat/>
    <w:uiPriority w:val="99"/>
    <w:rPr>
      <w:rFonts w:ascii="Times New Roman" w:hAnsi="Times New Roman" w:eastAsia="宋体" w:cs="Times New Roman"/>
      <w:kern w:val="0"/>
      <w:sz w:val="18"/>
      <w:szCs w:val="18"/>
    </w:rPr>
  </w:style>
  <w:style w:type="character" w:customStyle="1" w:styleId="56">
    <w:name w:val="页眉字符1"/>
    <w:basedOn w:val="27"/>
    <w:semiHidden/>
    <w:qFormat/>
    <w:uiPriority w:val="99"/>
    <w:rPr>
      <w:rFonts w:ascii="Times New Roman" w:hAnsi="Times New Roman" w:eastAsia="宋体" w:cs="Times New Roman"/>
      <w:kern w:val="0"/>
      <w:sz w:val="18"/>
      <w:szCs w:val="18"/>
    </w:rPr>
  </w:style>
  <w:style w:type="character" w:customStyle="1" w:styleId="57">
    <w:name w:val="标题字符1"/>
    <w:basedOn w:val="27"/>
    <w:qFormat/>
    <w:uiPriority w:val="10"/>
    <w:rPr>
      <w:rFonts w:eastAsia="宋体" w:asciiTheme="majorHAnsi" w:hAnsiTheme="majorHAnsi" w:cstheme="majorBidi"/>
      <w:b/>
      <w:bCs/>
      <w:kern w:val="0"/>
      <w:sz w:val="32"/>
      <w:szCs w:val="32"/>
    </w:rPr>
  </w:style>
  <w:style w:type="paragraph" w:customStyle="1" w:styleId="58">
    <w:name w:val="列出段落1"/>
    <w:basedOn w:val="1"/>
    <w:qFormat/>
    <w:uiPriority w:val="0"/>
    <w:pPr>
      <w:widowControl w:val="0"/>
      <w:ind w:firstLine="420" w:firstLineChars="200"/>
      <w:jc w:val="both"/>
    </w:pPr>
    <w:rPr>
      <w:rFonts w:eastAsia="宋体"/>
      <w:sz w:val="20"/>
      <w:szCs w:val="20"/>
    </w:rPr>
  </w:style>
  <w:style w:type="paragraph" w:customStyle="1" w:styleId="59">
    <w:name w:val="p0"/>
    <w:basedOn w:val="1"/>
    <w:qFormat/>
    <w:uiPriority w:val="0"/>
    <w:pPr>
      <w:jc w:val="both"/>
    </w:pPr>
    <w:rPr>
      <w:rFonts w:eastAsia="宋体"/>
      <w:sz w:val="20"/>
      <w:szCs w:val="20"/>
    </w:rPr>
  </w:style>
  <w:style w:type="paragraph" w:customStyle="1" w:styleId="6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61">
    <w:name w:val="Char Char Char Char Char Char1 Char"/>
    <w:basedOn w:val="1"/>
    <w:qFormat/>
    <w:uiPriority w:val="0"/>
    <w:pPr>
      <w:widowControl w:val="0"/>
      <w:jc w:val="both"/>
    </w:pPr>
    <w:rPr>
      <w:rFonts w:eastAsia="宋体"/>
      <w:sz w:val="20"/>
      <w:szCs w:val="20"/>
    </w:rPr>
  </w:style>
  <w:style w:type="paragraph" w:customStyle="1" w:styleId="62">
    <w:name w:val="默认段落字体 Para Char Char Char Char Char Char Char"/>
    <w:basedOn w:val="1"/>
    <w:qFormat/>
    <w:uiPriority w:val="0"/>
    <w:pPr>
      <w:widowControl w:val="0"/>
      <w:jc w:val="both"/>
    </w:pPr>
    <w:rPr>
      <w:rFonts w:eastAsia="宋体"/>
      <w:sz w:val="20"/>
      <w:szCs w:val="20"/>
    </w:rPr>
  </w:style>
  <w:style w:type="paragraph" w:customStyle="1" w:styleId="63">
    <w:name w:val="列出段落11"/>
    <w:basedOn w:val="1"/>
    <w:qFormat/>
    <w:uiPriority w:val="0"/>
    <w:pPr>
      <w:widowControl w:val="0"/>
      <w:ind w:firstLine="420" w:firstLineChars="200"/>
      <w:jc w:val="both"/>
    </w:pPr>
    <w:rPr>
      <w:rFonts w:eastAsia="宋体"/>
      <w:sz w:val="20"/>
      <w:szCs w:val="20"/>
    </w:rPr>
  </w:style>
  <w:style w:type="paragraph" w:customStyle="1" w:styleId="64">
    <w:name w:val="Char Char Char Char Char Char1 Char1"/>
    <w:basedOn w:val="1"/>
    <w:qFormat/>
    <w:uiPriority w:val="0"/>
    <w:pPr>
      <w:widowControl w:val="0"/>
      <w:jc w:val="both"/>
    </w:pPr>
    <w:rPr>
      <w:rFonts w:eastAsia="宋体"/>
      <w:sz w:val="20"/>
      <w:szCs w:val="20"/>
    </w:rPr>
  </w:style>
  <w:style w:type="paragraph" w:customStyle="1" w:styleId="65">
    <w:name w:val="列表段落1"/>
    <w:basedOn w:val="1"/>
    <w:qFormat/>
    <w:uiPriority w:val="34"/>
    <w:pPr>
      <w:widowControl w:val="0"/>
      <w:ind w:firstLine="420" w:firstLineChars="200"/>
      <w:jc w:val="both"/>
    </w:pPr>
    <w:rPr>
      <w:rFonts w:eastAsia="宋体"/>
      <w:sz w:val="20"/>
      <w:szCs w:val="20"/>
    </w:rPr>
  </w:style>
  <w:style w:type="paragraph" w:customStyle="1" w:styleId="66">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691</Words>
  <Characters>3944</Characters>
  <Lines>32</Lines>
  <Paragraphs>9</Paragraphs>
  <TotalTime>0</TotalTime>
  <ScaleCrop>false</ScaleCrop>
  <LinksUpToDate>false</LinksUpToDate>
  <CharactersWithSpaces>4626</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2019-02-28T07:33:00Z</dcterms:created>
  <dc:creator>58016481@qq.com</dc:creator>
  <cp:lastModifiedBy>张翠</cp:lastModifiedBy>
  <cp:lastPrinted>2019-03-15T00:24:00Z</cp:lastPrinted>
  <dcterms:modified xsi:type="dcterms:W3CDTF">2019-03-26T03:10:18Z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